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D00050"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US"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1 al</w:t>
            </w:r>
            <w:r>
              <w:rPr>
                <w:rFonts w:ascii="Verdana" w:eastAsia="SimSun" w:hAnsi="Verdana" w:cs="Traditional Arabic"/>
                <w:b/>
                <w:sz w:val="20"/>
                <w:lang w:val="en-US"/>
              </w:rPr>
              <w:br/>
              <w:t>Documento 38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6 de octubre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D00050" w:rsidRDefault="000A5B9A" w:rsidP="008C1E6F">
            <w:pPr>
              <w:pStyle w:val="Source"/>
            </w:pPr>
            <w:bookmarkStart w:id="2" w:name="dsource" w:colFirst="0" w:colLast="0"/>
            <w:r w:rsidRPr="00D00050">
              <w:t>Canadá/Estados Unidos de América</w:t>
            </w:r>
          </w:p>
        </w:tc>
      </w:tr>
      <w:tr w:rsidR="000A5B9A" w:rsidRPr="0002785D" w:rsidTr="0050008E">
        <w:trPr>
          <w:cantSplit/>
        </w:trPr>
        <w:tc>
          <w:tcPr>
            <w:tcW w:w="10031" w:type="dxa"/>
            <w:gridSpan w:val="2"/>
          </w:tcPr>
          <w:p w:rsidR="000A5B9A" w:rsidRPr="00D00050" w:rsidRDefault="00D00050" w:rsidP="008C1E6F">
            <w:pPr>
              <w:pStyle w:val="Title1"/>
            </w:pPr>
            <w:bookmarkStart w:id="3" w:name="dtitle1" w:colFirst="0" w:colLast="0"/>
            <w:bookmarkEnd w:id="2"/>
            <w:r w:rsidRPr="00D00050">
              <w:t>P</w:t>
            </w:r>
            <w:r>
              <w:t>ROPUESTAS PARA LOS TRABAJOS DE LA CONFERENCIA</w:t>
            </w:r>
          </w:p>
        </w:tc>
      </w:tr>
      <w:tr w:rsidR="000A5B9A" w:rsidRPr="0002785D" w:rsidTr="0050008E">
        <w:trPr>
          <w:cantSplit/>
        </w:trPr>
        <w:tc>
          <w:tcPr>
            <w:tcW w:w="10031" w:type="dxa"/>
            <w:gridSpan w:val="2"/>
          </w:tcPr>
          <w:p w:rsidR="000A5B9A" w:rsidRPr="00D00050" w:rsidRDefault="000A5B9A" w:rsidP="008C1E6F">
            <w:pPr>
              <w:pStyle w:val="Title2"/>
            </w:pPr>
            <w:bookmarkStart w:id="4" w:name="dtitle2" w:colFirst="0" w:colLast="0"/>
            <w:bookmarkEnd w:id="3"/>
          </w:p>
        </w:tc>
      </w:tr>
      <w:tr w:rsidR="000A5B9A" w:rsidTr="0050008E">
        <w:trPr>
          <w:cantSplit/>
        </w:trPr>
        <w:tc>
          <w:tcPr>
            <w:tcW w:w="10031" w:type="dxa"/>
            <w:gridSpan w:val="2"/>
          </w:tcPr>
          <w:p w:rsidR="000A5B9A" w:rsidRDefault="000A5B9A" w:rsidP="008C1E6F">
            <w:pPr>
              <w:pStyle w:val="Agendaitem"/>
            </w:pPr>
            <w:bookmarkStart w:id="5" w:name="dtitle3" w:colFirst="0" w:colLast="0"/>
            <w:bookmarkEnd w:id="4"/>
            <w:r w:rsidRPr="00AE658F">
              <w:t>Punto 1.1 del orden del día</w:t>
            </w:r>
          </w:p>
        </w:tc>
      </w:tr>
    </w:tbl>
    <w:bookmarkEnd w:id="5"/>
    <w:p w:rsidR="001C0E40" w:rsidRPr="00C26A0A" w:rsidRDefault="009907B2" w:rsidP="008C1E6F">
      <w:r w:rsidRPr="00211854">
        <w:t>1.1</w:t>
      </w:r>
      <w:r w:rsidRPr="00211854">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211854">
        <w:rPr>
          <w:b/>
          <w:bCs/>
        </w:rPr>
        <w:t>233 (CMR</w:t>
      </w:r>
      <w:r>
        <w:rPr>
          <w:b/>
          <w:bCs/>
        </w:rPr>
        <w:noBreakHyphen/>
      </w:r>
      <w:r w:rsidRPr="00211854">
        <w:rPr>
          <w:b/>
          <w:bCs/>
        </w:rPr>
        <w:t>12)</w:t>
      </w:r>
      <w:r w:rsidRPr="00211854">
        <w:t>;</w:t>
      </w:r>
    </w:p>
    <w:p w:rsidR="00D00050" w:rsidRPr="008C1E6F" w:rsidRDefault="00D00050" w:rsidP="008C1E6F">
      <w:pPr>
        <w:pStyle w:val="Agendaitem"/>
      </w:pPr>
      <w:r w:rsidRPr="008C1E6F">
        <w:rPr>
          <w:u w:val="single"/>
        </w:rPr>
        <w:t>NOC</w:t>
      </w:r>
      <w:r w:rsidR="007D1013">
        <w:t xml:space="preserve"> 1 300</w:t>
      </w:r>
      <w:r w:rsidR="007D1013">
        <w:noBreakHyphen/>
      </w:r>
      <w:bookmarkStart w:id="6" w:name="_GoBack"/>
      <w:bookmarkEnd w:id="6"/>
      <w:r w:rsidRPr="008C1E6F">
        <w:t>1 400 MHz</w:t>
      </w:r>
    </w:p>
    <w:p w:rsidR="00D00050" w:rsidRPr="008C1E6F" w:rsidRDefault="001601BD" w:rsidP="008C1E6F">
      <w:pPr>
        <w:pStyle w:val="Headingb"/>
      </w:pPr>
      <w:r w:rsidRPr="008C1E6F">
        <w:t>Antecedentes</w:t>
      </w:r>
    </w:p>
    <w:p w:rsidR="00D00050" w:rsidRPr="001601BD" w:rsidRDefault="001601BD" w:rsidP="008C1E6F">
      <w:r w:rsidRPr="001601BD">
        <w:t>La Conferencia Mundial de Radiocomunicaciones de</w:t>
      </w:r>
      <w:r w:rsidR="00D00050" w:rsidRPr="001601BD">
        <w:t xml:space="preserve"> 2012 (</w:t>
      </w:r>
      <w:r w:rsidRPr="001601BD">
        <w:t>CMR</w:t>
      </w:r>
      <w:r w:rsidR="00D00050" w:rsidRPr="001601BD">
        <w:t>-12) reco</w:t>
      </w:r>
      <w:r w:rsidRPr="001601BD">
        <w:t>noció la necesidad de contar con espectro radioeléctrico adicional para soportar el creciente tráfico de datos móviles e incluyó en el orden del día de la CMR-15 el estudio de la posibilidad de atribuir espectro adicional a las aplicaciones m</w:t>
      </w:r>
      <w:r>
        <w:t>óviles terrenales de banda ancha</w:t>
      </w:r>
      <w:r w:rsidR="00D00050" w:rsidRPr="001601BD">
        <w:t>.</w:t>
      </w:r>
    </w:p>
    <w:p w:rsidR="00D00050" w:rsidRPr="001601BD" w:rsidRDefault="001601BD" w:rsidP="008C1E6F">
      <w:r w:rsidRPr="001601BD">
        <w:t>En la Región 1, la gama de frecuencias</w:t>
      </w:r>
      <w:r w:rsidR="00D00050" w:rsidRPr="001601BD">
        <w:t xml:space="preserve"> 1 350-1 400 MHz </w:t>
      </w:r>
      <w:r w:rsidRPr="001601BD">
        <w:t>est</w:t>
      </w:r>
      <w:r>
        <w:t xml:space="preserve">á atribuida a título coprimario al servicio fijo (SF), el servicio móvil (SM) y el servicio de radiolocalización. </w:t>
      </w:r>
      <w:r w:rsidRPr="001601BD">
        <w:t>Además, la banda de frecuencias</w:t>
      </w:r>
      <w:r w:rsidR="00D00050" w:rsidRPr="001601BD">
        <w:t xml:space="preserve"> 1 350-1 370 MHz </w:t>
      </w:r>
      <w:r w:rsidRPr="001601BD">
        <w:t>está atribuida a t</w:t>
      </w:r>
      <w:r>
        <w:t>ítulo coprimario al servicio de radionavegación aeronáutica en Estados Unidos y Canadá en virtud del número</w:t>
      </w:r>
      <w:r w:rsidR="00D00050" w:rsidRPr="001601BD">
        <w:t> 5.334</w:t>
      </w:r>
      <w:r>
        <w:t xml:space="preserve"> del RR</w:t>
      </w:r>
      <w:r w:rsidR="00D00050" w:rsidRPr="001601BD">
        <w:t>.</w:t>
      </w:r>
    </w:p>
    <w:p w:rsidR="00D00050" w:rsidRPr="001601BD" w:rsidRDefault="001601BD" w:rsidP="008C1E6F">
      <w:r w:rsidRPr="001601BD">
        <w:t>La UIT creó el Grupo Mixto de Tareas Especiales (GMTE)</w:t>
      </w:r>
      <w:r w:rsidR="00D00050" w:rsidRPr="001601BD">
        <w:t xml:space="preserve"> 4-5-6-7 </w:t>
      </w:r>
      <w:r w:rsidRPr="001601BD">
        <w:t>para el estudio de las necesidades de espectro de las IMT/banda ancha m</w:t>
      </w:r>
      <w:r>
        <w:t>óvil y la realización de estudios de compatibilidad habida cuenta de los requisitos de protección de otros servicios considerados por los Grupos de Trabajo del UIT-R concernidos</w:t>
      </w:r>
      <w:r w:rsidR="00D00050" w:rsidRPr="001601BD">
        <w:t xml:space="preserve">. </w:t>
      </w:r>
    </w:p>
    <w:p w:rsidR="008750A8" w:rsidRPr="001601BD" w:rsidRDefault="001601BD" w:rsidP="008C1E6F">
      <w:r w:rsidRPr="001601BD">
        <w:t>El GMTE</w:t>
      </w:r>
      <w:r w:rsidR="00D00050" w:rsidRPr="001601BD">
        <w:t xml:space="preserve"> 4-5-6-7 </w:t>
      </w:r>
      <w:r w:rsidRPr="001601BD">
        <w:t>realizó estudios sobre la compatibilidad entre los sistemas IMT y los radar</w:t>
      </w:r>
      <w:r w:rsidR="00E97C3A">
        <w:t>e</w:t>
      </w:r>
      <w:r w:rsidRPr="001601BD">
        <w:t>s que utilizan la gama</w:t>
      </w:r>
      <w:r w:rsidR="00D00050" w:rsidRPr="001601BD">
        <w:t xml:space="preserve"> 1 300-1 400 MHz </w:t>
      </w:r>
      <w:r w:rsidRPr="001601BD">
        <w:t>y los resultados de todos ellos muestran que la compartici</w:t>
      </w:r>
      <w:r>
        <w:t xml:space="preserve">ón entre radares y sistemas IMT en la misma frecuencia y la misma zona geográfica es imposible. </w:t>
      </w:r>
      <w:r w:rsidRPr="001601BD">
        <w:t>Estos estudios se presentan en el Informe del Presidente del GMTE</w:t>
      </w:r>
      <w:r w:rsidR="00D00050" w:rsidRPr="001601BD">
        <w:t xml:space="preserve"> 4-5-6-7 </w:t>
      </w:r>
      <w:r w:rsidRPr="001601BD">
        <w:t>(Anexo</w:t>
      </w:r>
      <w:r w:rsidR="00D00050" w:rsidRPr="001601BD">
        <w:t xml:space="preserve"> 25). </w:t>
      </w:r>
      <w:r w:rsidRPr="001601BD">
        <w:t>Además, los</w:t>
      </w:r>
      <w:r>
        <w:t xml:space="preserve"> </w:t>
      </w:r>
      <w:r w:rsidRPr="001601BD">
        <w:t>estudios muestran que posiblemente no sea posible armonizar a nivel mundial esta banda para las IMT y que toda utilización de partes de esta gama de frecuencias por las IMT sólo es posible a escala nacional. Por consiguiente, no estamos a favor de la identificación de la banda de frecuencias</w:t>
      </w:r>
      <w:r w:rsidR="00D00050" w:rsidRPr="001601BD">
        <w:t xml:space="preserve"> 1</w:t>
      </w:r>
      <w:r w:rsidR="00E97C3A">
        <w:t> </w:t>
      </w:r>
      <w:r w:rsidR="00D00050" w:rsidRPr="001601BD">
        <w:t>300-1</w:t>
      </w:r>
      <w:r w:rsidR="00E97C3A">
        <w:t> </w:t>
      </w:r>
      <w:r w:rsidR="00D00050" w:rsidRPr="001601BD">
        <w:t xml:space="preserve">400 MHz </w:t>
      </w:r>
      <w:r w:rsidRPr="001601BD">
        <w:t>para las IMT</w:t>
      </w:r>
      <w:r w:rsidR="00D00050" w:rsidRPr="001601BD">
        <w:t>.</w:t>
      </w:r>
      <w:r w:rsidR="00D00050" w:rsidRPr="001601BD">
        <w:br w:type="page"/>
      </w:r>
    </w:p>
    <w:p w:rsidR="00F008F3" w:rsidRPr="00245062" w:rsidRDefault="009907B2" w:rsidP="008C1E6F">
      <w:pPr>
        <w:pStyle w:val="ArtNo"/>
      </w:pPr>
      <w:r w:rsidRPr="00245062">
        <w:lastRenderedPageBreak/>
        <w:t xml:space="preserve">ARTÍCULO </w:t>
      </w:r>
      <w:r w:rsidRPr="00245062">
        <w:rPr>
          <w:rStyle w:val="href"/>
        </w:rPr>
        <w:t>5</w:t>
      </w:r>
    </w:p>
    <w:p w:rsidR="00F008F3" w:rsidRPr="00F63BD5" w:rsidRDefault="009907B2" w:rsidP="008C1E6F">
      <w:pPr>
        <w:pStyle w:val="Arttitle"/>
      </w:pPr>
      <w:r w:rsidRPr="00245062">
        <w:t>Atribuciones de frecuencia</w:t>
      </w:r>
    </w:p>
    <w:p w:rsidR="008C1E6F" w:rsidRPr="00245062" w:rsidRDefault="009907B2" w:rsidP="008C1E6F">
      <w:pPr>
        <w:pStyle w:val="Section1"/>
      </w:pPr>
      <w:r w:rsidRPr="00245062">
        <w:t>Sección IV – Cuadro de atribución de bandas de frecuencias</w:t>
      </w:r>
      <w:r w:rsidRPr="00245062">
        <w:br/>
      </w:r>
      <w:r w:rsidRPr="00245062">
        <w:rPr>
          <w:b w:val="0"/>
          <w:bCs/>
        </w:rPr>
        <w:t>(Véase el número</w:t>
      </w:r>
      <w:r w:rsidRPr="00245062">
        <w:t xml:space="preserve"> </w:t>
      </w:r>
      <w:r w:rsidRPr="00245062">
        <w:rPr>
          <w:rStyle w:val="Artref"/>
        </w:rPr>
        <w:t>2.1</w:t>
      </w:r>
      <w:r w:rsidRPr="00245062">
        <w:rPr>
          <w:b w:val="0"/>
          <w:bCs/>
        </w:rPr>
        <w:t>)</w:t>
      </w:r>
      <w:r w:rsidR="007B2B0B">
        <w:rPr>
          <w:b w:val="0"/>
          <w:bCs/>
        </w:rPr>
        <w:br/>
      </w:r>
      <w:r w:rsidRPr="00245062">
        <w:br/>
      </w:r>
    </w:p>
    <w:p w:rsidR="0000615B" w:rsidRDefault="009907B2" w:rsidP="008C1E6F">
      <w:pPr>
        <w:pStyle w:val="Proposal"/>
      </w:pPr>
      <w:r>
        <w:rPr>
          <w:u w:val="single"/>
        </w:rPr>
        <w:t>NOC</w:t>
      </w:r>
      <w:r>
        <w:tab/>
        <w:t>CAN/USA/38A1/1</w:t>
      </w:r>
    </w:p>
    <w:p w:rsidR="00F008F3" w:rsidRPr="00245062" w:rsidRDefault="009907B2" w:rsidP="008C1E6F">
      <w:pPr>
        <w:pStyle w:val="Tabletitle"/>
      </w:pPr>
      <w:r w:rsidRPr="00245062">
        <w:t>1 300-1 525 MHz</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101"/>
        <w:gridCol w:w="3101"/>
        <w:gridCol w:w="3102"/>
      </w:tblGrid>
      <w:tr w:rsidR="00F008F3" w:rsidRPr="00245062" w:rsidTr="0054128F">
        <w:trPr>
          <w:cantSplit/>
        </w:trPr>
        <w:tc>
          <w:tcPr>
            <w:tcW w:w="9304" w:type="dxa"/>
            <w:gridSpan w:val="3"/>
            <w:tcBorders>
              <w:top w:val="single" w:sz="6" w:space="0" w:color="auto"/>
              <w:left w:val="single" w:sz="6" w:space="0" w:color="auto"/>
              <w:bottom w:val="single" w:sz="6" w:space="0" w:color="auto"/>
              <w:right w:val="single" w:sz="6" w:space="0" w:color="auto"/>
            </w:tcBorders>
          </w:tcPr>
          <w:p w:rsidR="00F008F3" w:rsidRPr="00245062" w:rsidRDefault="009907B2" w:rsidP="008C1E6F">
            <w:pPr>
              <w:pStyle w:val="Tablehead"/>
              <w:rPr>
                <w:color w:val="000000"/>
              </w:rPr>
            </w:pPr>
            <w:r w:rsidRPr="00245062">
              <w:rPr>
                <w:color w:val="000000"/>
              </w:rPr>
              <w:t>Atribución a los servicios</w:t>
            </w:r>
          </w:p>
        </w:tc>
      </w:tr>
      <w:tr w:rsidR="00F008F3" w:rsidRPr="00245062" w:rsidTr="0054128F">
        <w:trPr>
          <w:cantSplit/>
        </w:trPr>
        <w:tc>
          <w:tcPr>
            <w:tcW w:w="3101" w:type="dxa"/>
            <w:tcBorders>
              <w:top w:val="single" w:sz="6" w:space="0" w:color="auto"/>
              <w:left w:val="single" w:sz="6" w:space="0" w:color="auto"/>
              <w:bottom w:val="single" w:sz="6" w:space="0" w:color="auto"/>
              <w:right w:val="single" w:sz="6" w:space="0" w:color="auto"/>
            </w:tcBorders>
          </w:tcPr>
          <w:p w:rsidR="00F008F3" w:rsidRPr="00245062" w:rsidRDefault="009907B2" w:rsidP="008C1E6F">
            <w:pPr>
              <w:pStyle w:val="Tablehead"/>
              <w:rPr>
                <w:color w:val="000000"/>
              </w:rPr>
            </w:pPr>
            <w:r w:rsidRPr="00245062">
              <w:rPr>
                <w:color w:val="000000"/>
              </w:rPr>
              <w:t>Región 1</w:t>
            </w:r>
          </w:p>
        </w:tc>
        <w:tc>
          <w:tcPr>
            <w:tcW w:w="3101" w:type="dxa"/>
            <w:tcBorders>
              <w:top w:val="single" w:sz="6" w:space="0" w:color="auto"/>
              <w:left w:val="single" w:sz="6" w:space="0" w:color="auto"/>
              <w:bottom w:val="single" w:sz="6" w:space="0" w:color="auto"/>
              <w:right w:val="single" w:sz="6" w:space="0" w:color="auto"/>
            </w:tcBorders>
          </w:tcPr>
          <w:p w:rsidR="00F008F3" w:rsidRPr="00245062" w:rsidRDefault="009907B2" w:rsidP="008C1E6F">
            <w:pPr>
              <w:pStyle w:val="Tablehead"/>
              <w:rPr>
                <w:color w:val="000000"/>
              </w:rPr>
            </w:pPr>
            <w:r w:rsidRPr="00245062">
              <w:rPr>
                <w:color w:val="000000"/>
              </w:rPr>
              <w:t>Región 2</w:t>
            </w:r>
          </w:p>
        </w:tc>
        <w:tc>
          <w:tcPr>
            <w:tcW w:w="3102" w:type="dxa"/>
            <w:tcBorders>
              <w:top w:val="single" w:sz="6" w:space="0" w:color="auto"/>
              <w:left w:val="single" w:sz="6" w:space="0" w:color="auto"/>
              <w:bottom w:val="single" w:sz="6" w:space="0" w:color="auto"/>
              <w:right w:val="single" w:sz="6" w:space="0" w:color="auto"/>
            </w:tcBorders>
          </w:tcPr>
          <w:p w:rsidR="00F008F3" w:rsidRPr="00245062" w:rsidRDefault="009907B2" w:rsidP="008C1E6F">
            <w:pPr>
              <w:pStyle w:val="Tablehead"/>
              <w:rPr>
                <w:color w:val="000000"/>
              </w:rPr>
            </w:pPr>
            <w:r w:rsidRPr="00245062">
              <w:rPr>
                <w:color w:val="000000"/>
              </w:rPr>
              <w:t>Región 3</w:t>
            </w:r>
          </w:p>
        </w:tc>
      </w:tr>
      <w:tr w:rsidR="00F008F3" w:rsidRPr="00245062" w:rsidTr="0054128F">
        <w:trPr>
          <w:cantSplit/>
        </w:trPr>
        <w:tc>
          <w:tcPr>
            <w:tcW w:w="9304" w:type="dxa"/>
            <w:gridSpan w:val="3"/>
            <w:tcBorders>
              <w:top w:val="single" w:sz="6" w:space="0" w:color="auto"/>
              <w:left w:val="single" w:sz="6" w:space="0" w:color="auto"/>
              <w:bottom w:val="single" w:sz="6" w:space="0" w:color="auto"/>
              <w:right w:val="single" w:sz="6" w:space="0" w:color="auto"/>
            </w:tcBorders>
          </w:tcPr>
          <w:p w:rsidR="002B0B40" w:rsidRPr="00245062" w:rsidRDefault="009907B2" w:rsidP="008C1E6F">
            <w:pPr>
              <w:pStyle w:val="TableTextS5"/>
              <w:rPr>
                <w:color w:val="000000"/>
              </w:rPr>
            </w:pPr>
            <w:r w:rsidRPr="00245062">
              <w:rPr>
                <w:rStyle w:val="Tablefreq"/>
                <w:color w:val="000000"/>
              </w:rPr>
              <w:t>1 300-1 350</w:t>
            </w:r>
            <w:r w:rsidRPr="00245062">
              <w:rPr>
                <w:color w:val="000000"/>
              </w:rPr>
              <w:tab/>
              <w:t>RADIOLOCALIZACIÓN</w:t>
            </w:r>
          </w:p>
          <w:p w:rsidR="00F008F3" w:rsidRPr="00245062" w:rsidRDefault="009907B2" w:rsidP="008C1E6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 xml:space="preserve">RADIONAVEGACIÓN AERONÁUTICA  </w:t>
            </w:r>
            <w:r w:rsidRPr="0071678E">
              <w:rPr>
                <w:rStyle w:val="Artref10pt"/>
              </w:rPr>
              <w:t>5.337</w:t>
            </w:r>
          </w:p>
          <w:p w:rsidR="00F008F3" w:rsidRPr="00245062" w:rsidRDefault="009907B2" w:rsidP="008C1E6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t>RADIONAVEGACIÓN POR SATÉLITE (Tierra</w:t>
            </w:r>
            <w:r w:rsidRPr="00245062">
              <w:rPr>
                <w:color w:val="000000"/>
              </w:rPr>
              <w:noBreakHyphen/>
              <w:t>espacio)</w:t>
            </w:r>
          </w:p>
          <w:p w:rsidR="00F008F3" w:rsidRPr="00245062" w:rsidRDefault="009907B2" w:rsidP="008C1E6F">
            <w:pPr>
              <w:pStyle w:val="TableTextS5"/>
              <w:rPr>
                <w:color w:val="000000"/>
              </w:rPr>
            </w:pPr>
            <w:r w:rsidRPr="00245062">
              <w:rPr>
                <w:color w:val="000000"/>
              </w:rPr>
              <w:tab/>
            </w:r>
            <w:r w:rsidRPr="00245062">
              <w:rPr>
                <w:color w:val="000000"/>
              </w:rPr>
              <w:tab/>
            </w:r>
            <w:r w:rsidRPr="00245062">
              <w:rPr>
                <w:color w:val="000000"/>
              </w:rPr>
              <w:tab/>
            </w:r>
            <w:r w:rsidRPr="00245062">
              <w:rPr>
                <w:color w:val="000000"/>
              </w:rPr>
              <w:tab/>
            </w:r>
            <w:r w:rsidRPr="0071678E">
              <w:rPr>
                <w:rStyle w:val="Artref10pt"/>
              </w:rPr>
              <w:t>5.149</w:t>
            </w:r>
            <w:r w:rsidRPr="00245062">
              <w:rPr>
                <w:color w:val="000000"/>
              </w:rPr>
              <w:t xml:space="preserve">  </w:t>
            </w:r>
            <w:r w:rsidRPr="0071678E">
              <w:rPr>
                <w:rStyle w:val="Artref10pt"/>
              </w:rPr>
              <w:t>5.337A</w:t>
            </w:r>
          </w:p>
        </w:tc>
      </w:tr>
      <w:tr w:rsidR="00F008F3" w:rsidRPr="00245062" w:rsidTr="00BD62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99"/>
        </w:trPr>
        <w:tc>
          <w:tcPr>
            <w:tcW w:w="3101" w:type="dxa"/>
            <w:tcBorders>
              <w:top w:val="single" w:sz="4" w:space="0" w:color="auto"/>
              <w:left w:val="single" w:sz="4" w:space="0" w:color="auto"/>
              <w:bottom w:val="single" w:sz="4" w:space="0" w:color="auto"/>
              <w:right w:val="single" w:sz="4" w:space="0" w:color="auto"/>
            </w:tcBorders>
          </w:tcPr>
          <w:p w:rsidR="00F008F3" w:rsidRPr="00245062" w:rsidRDefault="009907B2" w:rsidP="008C1E6F">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350-1</w:t>
            </w:r>
            <w:r w:rsidRPr="00245062">
              <w:rPr>
                <w:rStyle w:val="Tablefreq"/>
                <w:rFonts w:ascii="Tms Rmn" w:hAnsi="Tms Rmn" w:cs="Tms Rmn"/>
                <w:color w:val="000000"/>
                <w:sz w:val="12"/>
                <w:szCs w:val="12"/>
              </w:rPr>
              <w:t> </w:t>
            </w:r>
            <w:r w:rsidRPr="00245062">
              <w:rPr>
                <w:rStyle w:val="Tablefreq"/>
                <w:color w:val="000000"/>
              </w:rPr>
              <w:t>400</w:t>
            </w:r>
          </w:p>
          <w:p w:rsidR="00F008F3" w:rsidRPr="00245062" w:rsidRDefault="009907B2" w:rsidP="008C1E6F">
            <w:pPr>
              <w:pStyle w:val="TableTextS5"/>
              <w:rPr>
                <w:color w:val="000000"/>
              </w:rPr>
            </w:pPr>
            <w:r w:rsidRPr="00245062">
              <w:rPr>
                <w:color w:val="000000"/>
              </w:rPr>
              <w:t>FIJO</w:t>
            </w:r>
          </w:p>
          <w:p w:rsidR="00F008F3" w:rsidRPr="00245062" w:rsidRDefault="009907B2" w:rsidP="008C1E6F">
            <w:pPr>
              <w:pStyle w:val="TableTextS5"/>
              <w:rPr>
                <w:color w:val="000000"/>
              </w:rPr>
            </w:pPr>
            <w:r w:rsidRPr="00245062">
              <w:rPr>
                <w:color w:val="000000"/>
              </w:rPr>
              <w:t>MÓVIL</w:t>
            </w:r>
          </w:p>
          <w:p w:rsidR="00F008F3" w:rsidRPr="0071678E" w:rsidRDefault="009907B2" w:rsidP="008C1E6F">
            <w:pPr>
              <w:pStyle w:val="TableTextS5"/>
              <w:rPr>
                <w:rStyle w:val="Artref10pt"/>
              </w:rPr>
            </w:pPr>
            <w:r w:rsidRPr="00245062">
              <w:rPr>
                <w:color w:val="000000"/>
              </w:rPr>
              <w:t>RADIOLOCALIZACIÓN</w:t>
            </w:r>
          </w:p>
          <w:p w:rsidR="00F008F3" w:rsidRPr="00245062" w:rsidRDefault="009907B2" w:rsidP="008C1E6F">
            <w:pPr>
              <w:pStyle w:val="TableTextS5"/>
              <w:rPr>
                <w:color w:val="000000"/>
              </w:rPr>
            </w:pPr>
            <w:r w:rsidRPr="0071678E">
              <w:rPr>
                <w:rStyle w:val="Artref10pt"/>
              </w:rPr>
              <w:t>5.149</w:t>
            </w:r>
            <w:r w:rsidRPr="00245062">
              <w:rPr>
                <w:color w:val="000000"/>
              </w:rPr>
              <w:t xml:space="preserve">  </w:t>
            </w:r>
            <w:r w:rsidRPr="0071678E">
              <w:rPr>
                <w:rStyle w:val="Artref10pt"/>
              </w:rPr>
              <w:t>5.338</w:t>
            </w:r>
            <w:r w:rsidRPr="00245062">
              <w:rPr>
                <w:color w:val="000000"/>
              </w:rPr>
              <w:t xml:space="preserve">  </w:t>
            </w:r>
            <w:r w:rsidRPr="0071678E">
              <w:rPr>
                <w:rStyle w:val="Artref10pt"/>
              </w:rPr>
              <w:t>5.338A  5.339</w:t>
            </w:r>
          </w:p>
        </w:tc>
        <w:tc>
          <w:tcPr>
            <w:tcW w:w="6203" w:type="dxa"/>
            <w:gridSpan w:val="2"/>
            <w:tcBorders>
              <w:top w:val="single" w:sz="4" w:space="0" w:color="auto"/>
              <w:left w:val="single" w:sz="4" w:space="0" w:color="auto"/>
              <w:bottom w:val="single" w:sz="4" w:space="0" w:color="auto"/>
              <w:right w:val="single" w:sz="4" w:space="0" w:color="auto"/>
            </w:tcBorders>
          </w:tcPr>
          <w:p w:rsidR="00F008F3" w:rsidRPr="00245062" w:rsidRDefault="009907B2" w:rsidP="008C1E6F">
            <w:pPr>
              <w:pStyle w:val="TableTextS5"/>
              <w:rPr>
                <w:color w:val="000000"/>
              </w:rPr>
            </w:pPr>
            <w:r w:rsidRPr="00245062">
              <w:rPr>
                <w:rStyle w:val="Tablefreq"/>
                <w:color w:val="000000"/>
              </w:rPr>
              <w:t>1</w:t>
            </w:r>
            <w:r w:rsidRPr="00245062">
              <w:rPr>
                <w:rStyle w:val="Tablefreq"/>
                <w:rFonts w:ascii="Tms Rmn" w:hAnsi="Tms Rmn" w:cs="Tms Rmn"/>
                <w:color w:val="000000"/>
                <w:sz w:val="12"/>
                <w:szCs w:val="12"/>
              </w:rPr>
              <w:t> </w:t>
            </w:r>
            <w:r w:rsidRPr="00245062">
              <w:rPr>
                <w:rStyle w:val="Tablefreq"/>
                <w:color w:val="000000"/>
              </w:rPr>
              <w:t>350-1</w:t>
            </w:r>
            <w:r w:rsidRPr="00245062">
              <w:rPr>
                <w:rStyle w:val="Tablefreq"/>
                <w:rFonts w:ascii="Tms Rmn" w:hAnsi="Tms Rmn" w:cs="Tms Rmn"/>
                <w:color w:val="000000"/>
                <w:sz w:val="12"/>
                <w:szCs w:val="12"/>
              </w:rPr>
              <w:t> </w:t>
            </w:r>
            <w:r w:rsidRPr="00245062">
              <w:rPr>
                <w:rStyle w:val="Tablefreq"/>
                <w:color w:val="000000"/>
              </w:rPr>
              <w:t>400</w:t>
            </w:r>
          </w:p>
          <w:p w:rsidR="00F008F3" w:rsidRPr="00245062" w:rsidRDefault="009907B2" w:rsidP="008C1E6F">
            <w:pPr>
              <w:pStyle w:val="TableTextS5"/>
              <w:tabs>
                <w:tab w:val="clear" w:pos="170"/>
                <w:tab w:val="clear" w:pos="567"/>
                <w:tab w:val="clear" w:pos="737"/>
                <w:tab w:val="clear" w:pos="2977"/>
                <w:tab w:val="clear" w:pos="3266"/>
                <w:tab w:val="left" w:pos="459"/>
              </w:tabs>
              <w:rPr>
                <w:color w:val="000000"/>
              </w:rPr>
            </w:pPr>
            <w:r w:rsidRPr="00245062">
              <w:rPr>
                <w:color w:val="000000"/>
              </w:rPr>
              <w:tab/>
              <w:t>RADIOLOCALIZACIÓN  5.338A</w:t>
            </w:r>
          </w:p>
          <w:p w:rsidR="00F008F3" w:rsidRPr="00245062" w:rsidRDefault="007D1013" w:rsidP="008C1E6F">
            <w:pPr>
              <w:pStyle w:val="TableTextS5"/>
              <w:rPr>
                <w:color w:val="000000"/>
              </w:rPr>
            </w:pPr>
          </w:p>
          <w:p w:rsidR="00F008F3" w:rsidRPr="00245062" w:rsidRDefault="007D1013" w:rsidP="008C1E6F">
            <w:pPr>
              <w:pStyle w:val="TableTextS5"/>
              <w:rPr>
                <w:color w:val="000000"/>
              </w:rPr>
            </w:pPr>
          </w:p>
          <w:p w:rsidR="00F008F3" w:rsidRPr="00245062" w:rsidRDefault="009907B2" w:rsidP="008C1E6F">
            <w:pPr>
              <w:pStyle w:val="TableTextS5"/>
              <w:tabs>
                <w:tab w:val="clear" w:pos="170"/>
                <w:tab w:val="clear" w:pos="567"/>
                <w:tab w:val="clear" w:pos="737"/>
                <w:tab w:val="clear" w:pos="2977"/>
                <w:tab w:val="clear" w:pos="3266"/>
                <w:tab w:val="left" w:pos="459"/>
              </w:tabs>
              <w:rPr>
                <w:color w:val="000000"/>
              </w:rPr>
            </w:pPr>
            <w:r w:rsidRPr="00245062">
              <w:rPr>
                <w:color w:val="000000"/>
              </w:rPr>
              <w:tab/>
            </w:r>
            <w:r w:rsidRPr="0071678E">
              <w:rPr>
                <w:rStyle w:val="Artref10pt"/>
              </w:rPr>
              <w:t>5.149</w:t>
            </w:r>
            <w:r w:rsidRPr="00245062">
              <w:rPr>
                <w:color w:val="000000"/>
              </w:rPr>
              <w:t xml:space="preserve">  </w:t>
            </w:r>
            <w:r w:rsidRPr="0071678E">
              <w:rPr>
                <w:rStyle w:val="Artref10pt"/>
              </w:rPr>
              <w:t>5.334</w:t>
            </w:r>
            <w:r w:rsidRPr="00245062">
              <w:rPr>
                <w:color w:val="000000"/>
              </w:rPr>
              <w:t xml:space="preserve">  </w:t>
            </w:r>
            <w:r w:rsidRPr="0071678E">
              <w:rPr>
                <w:rStyle w:val="Artref10pt"/>
              </w:rPr>
              <w:t>5.339</w:t>
            </w:r>
          </w:p>
        </w:tc>
      </w:tr>
    </w:tbl>
    <w:p w:rsidR="00E97C3A" w:rsidRDefault="009907B2" w:rsidP="0032202E">
      <w:pPr>
        <w:pStyle w:val="Reasons"/>
        <w:rPr>
          <w:szCs w:val="24"/>
        </w:rPr>
      </w:pPr>
      <w:r w:rsidRPr="001601BD">
        <w:rPr>
          <w:b/>
        </w:rPr>
        <w:t>Motivos:</w:t>
      </w:r>
      <w:r w:rsidRPr="001601BD">
        <w:tab/>
      </w:r>
      <w:r w:rsidR="001601BD" w:rsidRPr="001601BD">
        <w:t>Los estudios del UIT-R muestran que no es posible la compartición entre las IMT y los sistemas de radiolocalizaci</w:t>
      </w:r>
      <w:r w:rsidR="001601BD">
        <w:t>ón titulares en la misma frecuencia y la misma zona geográfica</w:t>
      </w:r>
      <w:r w:rsidR="00D00050" w:rsidRPr="001601BD">
        <w:rPr>
          <w:szCs w:val="24"/>
        </w:rPr>
        <w:t>.</w:t>
      </w:r>
    </w:p>
    <w:p w:rsidR="00E97C3A" w:rsidRDefault="00E97C3A" w:rsidP="0032202E">
      <w:pPr>
        <w:pStyle w:val="Reasons"/>
      </w:pPr>
    </w:p>
    <w:p w:rsidR="00E97C3A" w:rsidRDefault="00E97C3A">
      <w:pPr>
        <w:jc w:val="center"/>
      </w:pPr>
      <w:r>
        <w:t>______________</w:t>
      </w:r>
    </w:p>
    <w:p w:rsidR="0000615B" w:rsidRPr="001601BD" w:rsidRDefault="0000615B" w:rsidP="008C1E6F">
      <w:pPr>
        <w:pStyle w:val="Reasons"/>
      </w:pPr>
    </w:p>
    <w:sectPr w:rsidR="0000615B" w:rsidRPr="001601BD">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7D1013" w:rsidRDefault="0077084A">
    <w:pPr>
      <w:ind w:right="360"/>
    </w:pPr>
    <w:r>
      <w:fldChar w:fldCharType="begin"/>
    </w:r>
    <w:r w:rsidRPr="007D1013">
      <w:instrText xml:space="preserve"> FILENAME \p  \* MERGEFORMAT </w:instrText>
    </w:r>
    <w:r>
      <w:fldChar w:fldCharType="separate"/>
    </w:r>
    <w:r w:rsidR="007D1013">
      <w:rPr>
        <w:noProof/>
      </w:rPr>
      <w:t>P:\ESP\ITU-R\CONF-R\CMR15\000\038ADD01S.docx</w:t>
    </w:r>
    <w:r>
      <w:fldChar w:fldCharType="end"/>
    </w:r>
    <w:r w:rsidRPr="007D1013">
      <w:tab/>
    </w:r>
    <w:r>
      <w:fldChar w:fldCharType="begin"/>
    </w:r>
    <w:r>
      <w:instrText xml:space="preserve"> SAVEDATE \@ DD.MM.YY </w:instrText>
    </w:r>
    <w:r>
      <w:fldChar w:fldCharType="separate"/>
    </w:r>
    <w:r w:rsidR="007D1013">
      <w:rPr>
        <w:noProof/>
      </w:rPr>
      <w:t>22.10.15</w:t>
    </w:r>
    <w:r>
      <w:fldChar w:fldCharType="end"/>
    </w:r>
    <w:r w:rsidRPr="007D1013">
      <w:tab/>
    </w:r>
    <w:r>
      <w:fldChar w:fldCharType="begin"/>
    </w:r>
    <w:r>
      <w:instrText xml:space="preserve"> PRINTDATE \@ DD.MM.YY </w:instrText>
    </w:r>
    <w:r>
      <w:fldChar w:fldCharType="separate"/>
    </w:r>
    <w:r w:rsidR="007D1013">
      <w:rPr>
        <w:noProof/>
      </w:rPr>
      <w:t>22.10.15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E6F" w:rsidRDefault="008C1E6F" w:rsidP="008C1E6F">
    <w:pPr>
      <w:pStyle w:val="Footer"/>
    </w:pPr>
    <w:fldSimple w:instr=" FILENAME \p  \* MERGEFORMAT ">
      <w:r w:rsidR="007D1013">
        <w:t>P:\ESP\ITU-R\CONF-R\CMR15\000\038ADD01S.docx</w:t>
      </w:r>
    </w:fldSimple>
    <w:r>
      <w:t xml:space="preserve"> (387789)</w:t>
    </w:r>
    <w:r>
      <w:tab/>
    </w:r>
    <w:r>
      <w:fldChar w:fldCharType="begin"/>
    </w:r>
    <w:r>
      <w:instrText xml:space="preserve"> SAVEDATE \@ DD.MM.YY </w:instrText>
    </w:r>
    <w:r>
      <w:fldChar w:fldCharType="separate"/>
    </w:r>
    <w:r w:rsidR="007D1013">
      <w:t>22.10.15</w:t>
    </w:r>
    <w:r>
      <w:fldChar w:fldCharType="end"/>
    </w:r>
    <w:r>
      <w:tab/>
    </w:r>
    <w:r>
      <w:fldChar w:fldCharType="begin"/>
    </w:r>
    <w:r>
      <w:instrText xml:space="preserve"> PRINTDATE \@ DD.MM.YY </w:instrText>
    </w:r>
    <w:r>
      <w:fldChar w:fldCharType="separate"/>
    </w:r>
    <w:r w:rsidR="007D1013">
      <w:t>22.10.15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E6F" w:rsidRDefault="007D1013">
    <w:pPr>
      <w:pStyle w:val="Footer"/>
    </w:pPr>
    <w:r>
      <w:fldChar w:fldCharType="begin"/>
    </w:r>
    <w:r>
      <w:instrText xml:space="preserve"> FILENAME \p  \* MERGEFORMAT </w:instrText>
    </w:r>
    <w:r>
      <w:fldChar w:fldCharType="separate"/>
    </w:r>
    <w:r>
      <w:t>P:\ESP\ITU-R\CONF-R\CMR15\000\038ADD01S.docx</w:t>
    </w:r>
    <w:r>
      <w:fldChar w:fldCharType="end"/>
    </w:r>
    <w:r w:rsidR="008C1E6F">
      <w:t xml:space="preserve"> (387789)</w:t>
    </w:r>
    <w:r w:rsidR="008C1E6F">
      <w:tab/>
    </w:r>
    <w:r w:rsidR="008C1E6F">
      <w:fldChar w:fldCharType="begin"/>
    </w:r>
    <w:r w:rsidR="008C1E6F">
      <w:instrText xml:space="preserve"> SAVEDATE \@ DD.MM.YY </w:instrText>
    </w:r>
    <w:r w:rsidR="008C1E6F">
      <w:fldChar w:fldCharType="separate"/>
    </w:r>
    <w:r>
      <w:t>22.10.15</w:t>
    </w:r>
    <w:r w:rsidR="008C1E6F">
      <w:fldChar w:fldCharType="end"/>
    </w:r>
    <w:r w:rsidR="008C1E6F">
      <w:tab/>
    </w:r>
    <w:r w:rsidR="008C1E6F">
      <w:fldChar w:fldCharType="begin"/>
    </w:r>
    <w:r w:rsidR="008C1E6F">
      <w:instrText xml:space="preserve"> PRINTDATE \@ DD.MM.YY </w:instrText>
    </w:r>
    <w:r w:rsidR="008C1E6F">
      <w:fldChar w:fldCharType="separate"/>
    </w:r>
    <w:r>
      <w:t>22.10.15</w:t>
    </w:r>
    <w:r w:rsidR="008C1E6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7D1013">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38(Add.1)-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0615B"/>
    <w:rsid w:val="0002785D"/>
    <w:rsid w:val="00087AE8"/>
    <w:rsid w:val="000A5B9A"/>
    <w:rsid w:val="000E5BF9"/>
    <w:rsid w:val="000F0E6D"/>
    <w:rsid w:val="00121170"/>
    <w:rsid w:val="00123CC5"/>
    <w:rsid w:val="0015142D"/>
    <w:rsid w:val="001601B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63A65"/>
    <w:rsid w:val="003B1E8C"/>
    <w:rsid w:val="003C2508"/>
    <w:rsid w:val="003D0AA3"/>
    <w:rsid w:val="00440B3A"/>
    <w:rsid w:val="0045384C"/>
    <w:rsid w:val="00454553"/>
    <w:rsid w:val="004B124A"/>
    <w:rsid w:val="005133B5"/>
    <w:rsid w:val="00532097"/>
    <w:rsid w:val="0058350F"/>
    <w:rsid w:val="00583C7E"/>
    <w:rsid w:val="005C704B"/>
    <w:rsid w:val="005D46FB"/>
    <w:rsid w:val="005F2605"/>
    <w:rsid w:val="005F3B0E"/>
    <w:rsid w:val="005F559C"/>
    <w:rsid w:val="00662BA0"/>
    <w:rsid w:val="00692AAE"/>
    <w:rsid w:val="006D6E67"/>
    <w:rsid w:val="006E1A13"/>
    <w:rsid w:val="00701C20"/>
    <w:rsid w:val="00702F3D"/>
    <w:rsid w:val="0070518E"/>
    <w:rsid w:val="007354E9"/>
    <w:rsid w:val="00765578"/>
    <w:rsid w:val="0077084A"/>
    <w:rsid w:val="007952C7"/>
    <w:rsid w:val="007B2B0B"/>
    <w:rsid w:val="007C0B95"/>
    <w:rsid w:val="007C2317"/>
    <w:rsid w:val="007D1013"/>
    <w:rsid w:val="007D330A"/>
    <w:rsid w:val="00866AE6"/>
    <w:rsid w:val="008750A8"/>
    <w:rsid w:val="008C1E6F"/>
    <w:rsid w:val="008E5AF2"/>
    <w:rsid w:val="0090121B"/>
    <w:rsid w:val="009144C9"/>
    <w:rsid w:val="0094091F"/>
    <w:rsid w:val="00973754"/>
    <w:rsid w:val="009907B2"/>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63EB5"/>
    <w:rsid w:val="00CC01E0"/>
    <w:rsid w:val="00CD5FEE"/>
    <w:rsid w:val="00CE60D2"/>
    <w:rsid w:val="00CE7431"/>
    <w:rsid w:val="00D00050"/>
    <w:rsid w:val="00D0288A"/>
    <w:rsid w:val="00D72A5D"/>
    <w:rsid w:val="00DC629B"/>
    <w:rsid w:val="00E05BFF"/>
    <w:rsid w:val="00E262F1"/>
    <w:rsid w:val="00E3176A"/>
    <w:rsid w:val="00E54754"/>
    <w:rsid w:val="00E56BD3"/>
    <w:rsid w:val="00E71D14"/>
    <w:rsid w:val="00E97C3A"/>
    <w:rsid w:val="00EC2791"/>
    <w:rsid w:val="00F233FD"/>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D1AC7D9-F253-45B0-847D-6638824A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 w:type="character" w:customStyle="1" w:styleId="Artref10pt">
    <w:name w:val="Art_ref + 10 pt"/>
    <w:basedOn w:val="Artref"/>
    <w:rsid w:val="0071678E"/>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R15-WRC15-C-0038!A1!MSW-S</DPM_x0020_File_x0020_name>
    <DPM_x0020_Author xmlns="32a1a8c5-2265-4ebc-b7a0-2071e2c5c9bb" xsi:nil="false">Documents Proposals Manager (DPM)</DPM_x0020_Author>
    <DPM_x0020_Version xmlns="32a1a8c5-2265-4ebc-b7a0-2071e2c5c9bb" xsi:nil="false">DPM_v5.2015.10.14_prod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B74EE8-6A95-468F-BA2F-1F8C80AC664F}">
  <ds:schemaRefs>
    <ds:schemaRef ds:uri="32a1a8c5-2265-4ebc-b7a0-2071e2c5c9bb"/>
    <ds:schemaRef ds:uri="http://purl.org/dc/terms/"/>
    <ds:schemaRef ds:uri="http://www.w3.org/XML/1998/namespace"/>
    <ds:schemaRef ds:uri="996b2e75-67fd-4955-a3b0-5ab9934cb50b"/>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FF113CBE-2F4C-45BB-85DF-322C506E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481</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R15-WRC15-C-0038!A1!MSW-S</vt:lpstr>
    </vt:vector>
  </TitlesOfParts>
  <Manager>Secretaría General - Pool</Manager>
  <Company>Unión Internacional de Telecomunicaciones (UIT)</Company>
  <LinksUpToDate>false</LinksUpToDate>
  <CharactersWithSpaces>3144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R15-WRC15-C-0038!A1!MSW-S</dc:title>
  <dc:subject>Conferencia Mundial de Radiocomunicaciones - 2015</dc:subject>
  <dc:creator>Documents Proposals Manager (DPM)</dc:creator>
  <cp:keywords>DPM_v5.2015.10.14_prod</cp:keywords>
  <dc:description/>
  <cp:lastModifiedBy>spanish</cp:lastModifiedBy>
  <cp:revision>5</cp:revision>
  <cp:lastPrinted>2015-10-22T08:57:00Z</cp:lastPrinted>
  <dcterms:created xsi:type="dcterms:W3CDTF">2015-10-21T07:34:00Z</dcterms:created>
  <dcterms:modified xsi:type="dcterms:W3CDTF">2015-10-22T08:59:00Z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