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6966A1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6966A1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6966A1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6966A1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6966A1" w:rsidRDefault="003E1608" w:rsidP="006966A1">
            <w:pPr>
              <w:pStyle w:val="Adress"/>
              <w:framePr w:hSpace="0" w:wrap="auto" w:xAlign="left" w:yAlign="inline"/>
              <w:rPr>
                <w:rtl/>
              </w:rPr>
            </w:pPr>
            <w:r w:rsidRPr="006966A1">
              <w:rPr>
                <w:rtl/>
              </w:rPr>
              <w:t xml:space="preserve">الإضافة </w:t>
            </w:r>
            <w:r w:rsidRPr="006966A1">
              <w:t>2</w:t>
            </w:r>
            <w:r w:rsidRPr="006966A1">
              <w:br/>
            </w:r>
            <w:r w:rsidRPr="006966A1">
              <w:rPr>
                <w:rtl/>
              </w:rPr>
              <w:t xml:space="preserve">للوثيقة </w:t>
            </w:r>
            <w:r w:rsidRPr="006966A1">
              <w:t>35-</w:t>
            </w:r>
            <w:r w:rsidR="006966A1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6966A1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6966A1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6966A1">
              <w:rPr>
                <w:rFonts w:eastAsia="SimSun"/>
              </w:rPr>
              <w:t>30</w:t>
            </w:r>
            <w:r w:rsidRPr="006966A1">
              <w:rPr>
                <w:rFonts w:eastAsia="SimSun"/>
                <w:rtl/>
              </w:rPr>
              <w:t xml:space="preserve"> سبتمبر </w:t>
            </w:r>
            <w:r w:rsidRPr="006966A1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6966A1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6966A1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6966A1">
              <w:rPr>
                <w:rFonts w:eastAsia="SimSun"/>
                <w:rtl/>
              </w:rPr>
              <w:t>الأصل: بالفرنسية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الكاميرون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6966A1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 xml:space="preserve">مقترحات بشأن أعمال </w:t>
            </w:r>
            <w:proofErr w:type="spellStart"/>
            <w:r>
              <w:rPr>
                <w:rFonts w:hint="cs"/>
                <w:rtl/>
              </w:rPr>
              <w:t>ال‍مؤت‍مر</w:t>
            </w:r>
            <w:proofErr w:type="spellEnd"/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422037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422037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422037">
              <w:t>2.1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8D5B9B" w:rsidP="00422037">
      <w:pPr>
        <w:pStyle w:val="Normalaftertitle"/>
        <w:rPr>
          <w:rFonts w:eastAsia="SimSun"/>
          <w:rtl/>
          <w:lang w:bidi="ar-SY"/>
        </w:rPr>
      </w:pPr>
      <w:r w:rsidRPr="00431196">
        <w:rPr>
          <w:rFonts w:eastAsia="SimSun"/>
        </w:rPr>
        <w:t>2.1</w:t>
      </w:r>
      <w:r w:rsidRPr="00431196">
        <w:rPr>
          <w:rFonts w:eastAsia="SimSun" w:hint="cs"/>
          <w:rtl/>
        </w:rPr>
        <w:tab/>
        <w:t>تفحص نتائج دراسات قطاع الاتصالات الراديوية، وفقاً 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232 </w:t>
      </w:r>
      <w:r w:rsidRPr="00431196">
        <w:rPr>
          <w:rFonts w:eastAsia="SimSun"/>
          <w:b/>
          <w:bCs/>
          <w:lang w:bidi="ar-SY"/>
        </w:rPr>
        <w:t>(WRC</w:t>
      </w:r>
      <w:r w:rsidRPr="00431196">
        <w:rPr>
          <w:rFonts w:eastAsia="SimSun"/>
          <w:b/>
          <w:bCs/>
          <w:lang w:bidi="ar-SY"/>
        </w:rPr>
        <w:noBreakHyphen/>
        <w:t>12)</w:t>
      </w:r>
      <w:r w:rsidR="006C2756">
        <w:rPr>
          <w:rFonts w:eastAsia="SimSun" w:hint="cs"/>
          <w:b/>
          <w:bCs/>
          <w:rtl/>
          <w:lang w:bidi="ar-EG"/>
        </w:rPr>
        <w:t>،</w:t>
      </w:r>
      <w:r w:rsidRPr="00431196">
        <w:rPr>
          <w:rFonts w:eastAsia="SimSun" w:hint="cs"/>
          <w:rtl/>
        </w:rPr>
        <w:t xml:space="preserve"> بشأن استعمال الخدمة المتنقلة باستثناء </w:t>
      </w:r>
      <w:r w:rsidR="006C2756">
        <w:rPr>
          <w:rFonts w:eastAsia="SimSun" w:hint="cs"/>
          <w:rtl/>
        </w:rPr>
        <w:t xml:space="preserve">الخدمة </w:t>
      </w:r>
      <w:r w:rsidRPr="00431196">
        <w:rPr>
          <w:rFonts w:eastAsia="SimSun" w:hint="cs"/>
          <w:rtl/>
        </w:rPr>
        <w:t xml:space="preserve">المتنقلة للطيران لنطاق التردد </w:t>
      </w:r>
      <w:r w:rsidRPr="00431196">
        <w:rPr>
          <w:rFonts w:eastAsia="SimSun"/>
        </w:rPr>
        <w:t>MHz 790</w:t>
      </w:r>
      <w:r w:rsidRPr="00431196">
        <w:rPr>
          <w:rFonts w:eastAsia="SimSun"/>
        </w:rPr>
        <w:noBreakHyphen/>
        <w:t>694</w:t>
      </w:r>
      <w:r w:rsidRPr="00431196">
        <w:rPr>
          <w:rFonts w:eastAsia="SimSun" w:hint="cs"/>
          <w:rtl/>
          <w:lang w:bidi="ar-SY"/>
        </w:rPr>
        <w:t xml:space="preserve"> في الإقليم </w:t>
      </w:r>
      <w:r w:rsidRPr="00431196">
        <w:rPr>
          <w:rFonts w:eastAsia="SimSun"/>
          <w:lang w:bidi="ar-SY"/>
        </w:rPr>
        <w:t>1</w:t>
      </w:r>
      <w:r w:rsidRPr="00431196">
        <w:rPr>
          <w:rFonts w:eastAsia="SimSun" w:hint="cs"/>
          <w:rtl/>
          <w:lang w:bidi="ar-SY"/>
        </w:rPr>
        <w:t>، واتخاذ التدابير المناسبة؛</w:t>
      </w:r>
    </w:p>
    <w:p w:rsidR="00F16602" w:rsidRDefault="006966A1" w:rsidP="006966A1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6966A1" w:rsidRDefault="00047AE1" w:rsidP="00422037">
      <w:pPr>
        <w:spacing w:before="240"/>
        <w:rPr>
          <w:rtl/>
        </w:rPr>
      </w:pPr>
      <w:r w:rsidRPr="00422037">
        <w:rPr>
          <w:rFonts w:hint="cs"/>
          <w:rtl/>
        </w:rPr>
        <w:t xml:space="preserve">اعتمد </w:t>
      </w:r>
      <w:r w:rsidRPr="00422037">
        <w:rPr>
          <w:rtl/>
        </w:rPr>
        <w:t xml:space="preserve">المؤتمر العالمي للاتصالات الراديوية لعام </w:t>
      </w:r>
      <w:r w:rsidRPr="00422037">
        <w:t>2012</w:t>
      </w:r>
      <w:r w:rsidRPr="00422037">
        <w:rPr>
          <w:rFonts w:hint="cs"/>
          <w:rtl/>
        </w:rPr>
        <w:t xml:space="preserve"> القرار </w:t>
      </w:r>
      <w:r w:rsidRPr="00422037">
        <w:rPr>
          <w:b/>
          <w:bCs/>
        </w:rPr>
        <w:t>232 (WRC</w:t>
      </w:r>
      <w:r w:rsidRPr="00422037">
        <w:rPr>
          <w:b/>
          <w:bCs/>
        </w:rPr>
        <w:noBreakHyphen/>
        <w:t>12)</w:t>
      </w:r>
      <w:r w:rsidRPr="00422037">
        <w:rPr>
          <w:rFonts w:hint="cs"/>
          <w:rtl/>
        </w:rPr>
        <w:t xml:space="preserve"> </w:t>
      </w:r>
      <w:r w:rsidR="006C2756" w:rsidRPr="00422037">
        <w:rPr>
          <w:rFonts w:hint="cs"/>
          <w:rtl/>
        </w:rPr>
        <w:t xml:space="preserve">الذي ينص على أن </w:t>
      </w:r>
      <w:r w:rsidRPr="00422037">
        <w:rPr>
          <w:rFonts w:hint="cs"/>
          <w:rtl/>
        </w:rPr>
        <w:t xml:space="preserve">توزيع </w:t>
      </w:r>
      <w:r w:rsidR="006C2756" w:rsidRPr="00422037">
        <w:rPr>
          <w:rFonts w:hint="cs"/>
          <w:rtl/>
        </w:rPr>
        <w:t xml:space="preserve">نطاق التردد </w:t>
      </w:r>
      <w:r w:rsidR="006C2756" w:rsidRPr="00422037">
        <w:t>MHz 790</w:t>
      </w:r>
      <w:r w:rsidR="006C2756" w:rsidRPr="00422037">
        <w:noBreakHyphen/>
        <w:t>694</w:t>
      </w:r>
      <w:r w:rsidR="006C2756" w:rsidRPr="00422037">
        <w:rPr>
          <w:rFonts w:hint="cs"/>
          <w:rtl/>
        </w:rPr>
        <w:t xml:space="preserve"> ل</w:t>
      </w:r>
      <w:r w:rsidRPr="00422037">
        <w:rPr>
          <w:rFonts w:hint="cs"/>
          <w:rtl/>
        </w:rPr>
        <w:t>لخدمة المتنقلة</w:t>
      </w:r>
      <w:r w:rsidR="006C2756" w:rsidRPr="00422037">
        <w:rPr>
          <w:rFonts w:hint="cs"/>
          <w:rtl/>
        </w:rPr>
        <w:t xml:space="preserve"> في الإقليم </w:t>
      </w:r>
      <w:r w:rsidR="006C2756" w:rsidRPr="00422037">
        <w:t>1</w:t>
      </w:r>
      <w:r w:rsidR="006C2756" w:rsidRPr="00422037">
        <w:rPr>
          <w:rFonts w:hint="cs"/>
          <w:rtl/>
        </w:rPr>
        <w:t>،</w:t>
      </w:r>
      <w:r w:rsidRPr="00422037">
        <w:rPr>
          <w:rFonts w:hint="cs"/>
          <w:rtl/>
        </w:rPr>
        <w:t xml:space="preserve"> باستثناء الخدمة المتنقلة للطيران</w:t>
      </w:r>
      <w:r w:rsidR="006C2756" w:rsidRPr="00422037">
        <w:rPr>
          <w:rFonts w:hint="cs"/>
          <w:rtl/>
          <w:lang w:bidi="ar-EG"/>
        </w:rPr>
        <w:t>،</w:t>
      </w:r>
      <w:r w:rsidR="006C2756" w:rsidRPr="00422037">
        <w:rPr>
          <w:rFonts w:hint="cs"/>
          <w:rtl/>
        </w:rPr>
        <w:t xml:space="preserve"> يصبح ساري المفعول فور انتهاء المؤتمر</w:t>
      </w:r>
      <w:r w:rsidR="006C2756" w:rsidRPr="00422037">
        <w:rPr>
          <w:rtl/>
        </w:rPr>
        <w:t xml:space="preserve"> العالمي للاتصالات الراديوية لعام </w:t>
      </w:r>
      <w:r w:rsidR="006C2756" w:rsidRPr="00422037">
        <w:t>2015</w:t>
      </w:r>
      <w:r w:rsidR="006C2756" w:rsidRPr="00422037">
        <w:rPr>
          <w:rFonts w:hint="cs"/>
          <w:rtl/>
          <w:lang w:bidi="ar-EG"/>
        </w:rPr>
        <w:t xml:space="preserve">. وقد دعا هذه القرار إلى دراسة </w:t>
      </w:r>
      <w:r w:rsidR="006C2756" w:rsidRPr="00422037">
        <w:rPr>
          <w:color w:val="000000"/>
          <w:rtl/>
        </w:rPr>
        <w:t>حلول لتلبية متطلبات التطبيقات المساعدة للخدمات الإذاعية</w:t>
      </w:r>
      <w:r w:rsidR="006C2756" w:rsidRPr="00422037">
        <w:rPr>
          <w:rFonts w:hint="cs"/>
          <w:color w:val="000000"/>
          <w:rtl/>
        </w:rPr>
        <w:t xml:space="preserve">. </w:t>
      </w:r>
      <w:r w:rsidR="006C2756" w:rsidRPr="00422037">
        <w:rPr>
          <w:color w:val="000000"/>
          <w:rtl/>
        </w:rPr>
        <w:t xml:space="preserve">وهذه التطبيقات منتشرة في عدد من بلدان الإقليم </w:t>
      </w:r>
      <w:r w:rsidR="006C2756" w:rsidRPr="00422037">
        <w:rPr>
          <w:color w:val="000000"/>
        </w:rPr>
        <w:t>1</w:t>
      </w:r>
      <w:r w:rsidR="006C2756" w:rsidRPr="00422037">
        <w:rPr>
          <w:color w:val="000000"/>
          <w:rtl/>
        </w:rPr>
        <w:t xml:space="preserve"> على أساس ثانوي بموجب الرقم </w:t>
      </w:r>
      <w:r w:rsidR="006C2756" w:rsidRPr="00422037">
        <w:rPr>
          <w:color w:val="000000"/>
        </w:rPr>
        <w:t>296.5</w:t>
      </w:r>
      <w:r w:rsidR="006C2756" w:rsidRPr="00422037">
        <w:rPr>
          <w:color w:val="000000"/>
          <w:rtl/>
        </w:rPr>
        <w:t xml:space="preserve"> من لوائح الراديو</w:t>
      </w:r>
      <w:r w:rsidR="006C2756" w:rsidRPr="00422037">
        <w:rPr>
          <w:color w:val="000000"/>
        </w:rPr>
        <w:t>.</w:t>
      </w:r>
      <w:r w:rsidR="006C2756" w:rsidRPr="00422037">
        <w:rPr>
          <w:rFonts w:hint="cs"/>
          <w:color w:val="000000"/>
          <w:rtl/>
        </w:rPr>
        <w:t xml:space="preserve"> وبالنظر إلى أن</w:t>
      </w:r>
      <w:r w:rsidR="006C2756" w:rsidRPr="00422037">
        <w:rPr>
          <w:rFonts w:hint="cs"/>
          <w:rtl/>
        </w:rPr>
        <w:t xml:space="preserve"> تشارك القنوات والمواقع بين ا</w:t>
      </w:r>
      <w:r w:rsidR="006C2756" w:rsidRPr="00422037">
        <w:rPr>
          <w:rtl/>
        </w:rPr>
        <w:t>لخدمات المساعدة للإذاعة/الخدمات المساعدة للإنتاج</w:t>
      </w:r>
      <w:r w:rsidR="006C2756" w:rsidRPr="00422037">
        <w:rPr>
          <w:rFonts w:hint="cs"/>
          <w:rtl/>
        </w:rPr>
        <w:t xml:space="preserve"> والاتصالات المتنقلة الدولية ليس ممكناً،</w:t>
      </w:r>
      <w:r w:rsidR="004C53F3" w:rsidRPr="00422037">
        <w:rPr>
          <w:rFonts w:hint="cs"/>
          <w:rtl/>
        </w:rPr>
        <w:t xml:space="preserve"> ينبغي مراجعة </w:t>
      </w:r>
      <w:r w:rsidR="004C53F3" w:rsidRPr="00422037">
        <w:rPr>
          <w:color w:val="000000"/>
          <w:rtl/>
        </w:rPr>
        <w:t xml:space="preserve">الرقم </w:t>
      </w:r>
      <w:r w:rsidR="004C53F3" w:rsidRPr="00422037">
        <w:rPr>
          <w:color w:val="000000"/>
        </w:rPr>
        <w:t>296.5</w:t>
      </w:r>
      <w:r w:rsidR="004C53F3" w:rsidRPr="00422037">
        <w:rPr>
          <w:color w:val="000000"/>
          <w:rtl/>
        </w:rPr>
        <w:t xml:space="preserve"> من لوائح الراديو</w:t>
      </w:r>
      <w:r w:rsidR="004C53F3" w:rsidRPr="00422037">
        <w:rPr>
          <w:rFonts w:hint="cs"/>
          <w:color w:val="000000"/>
          <w:rtl/>
        </w:rPr>
        <w:t xml:space="preserve"> من أجل تحديد الحد الأعلى لنطاق التردد عند </w:t>
      </w:r>
      <w:r w:rsidR="004C53F3" w:rsidRPr="00422037">
        <w:rPr>
          <w:color w:val="000000"/>
        </w:rPr>
        <w:t>MHz 694</w:t>
      </w:r>
      <w:r w:rsidR="004C53F3" w:rsidRPr="00422037">
        <w:rPr>
          <w:rFonts w:hint="cs"/>
          <w:color w:val="000000"/>
          <w:rtl/>
          <w:lang w:bidi="ar-EG"/>
        </w:rPr>
        <w:t xml:space="preserve"> وتوسيع استعمال هذا</w:t>
      </w:r>
      <w:r w:rsidR="00422037">
        <w:rPr>
          <w:rFonts w:hint="eastAsia"/>
          <w:color w:val="000000"/>
          <w:rtl/>
          <w:lang w:bidi="ar-EG"/>
        </w:rPr>
        <w:t> </w:t>
      </w:r>
      <w:r w:rsidR="004C53F3" w:rsidRPr="00422037">
        <w:rPr>
          <w:rFonts w:hint="cs"/>
          <w:color w:val="000000"/>
          <w:rtl/>
          <w:lang w:bidi="ar-EG"/>
        </w:rPr>
        <w:t>الطيف ليشمل تطبيقات إنتاج البرامج من أجل زيادة المرونة، ريثما ينظر مؤتمر مقبل، عند الاقتضاء، في الحاجة المحتملة لإيجاد نطاقات التردد التي ينبغي أن تستعملها الخدمة الإذاعية</w:t>
      </w:r>
      <w:r w:rsidR="0036525E" w:rsidRPr="00422037">
        <w:rPr>
          <w:rFonts w:hint="cs"/>
          <w:color w:val="000000"/>
          <w:rtl/>
          <w:lang w:bidi="ar-EG"/>
        </w:rPr>
        <w:t xml:space="preserve"> (</w:t>
      </w:r>
      <w:r w:rsidR="0036525E" w:rsidRPr="00422037">
        <w:rPr>
          <w:rFonts w:hint="cs"/>
          <w:rtl/>
        </w:rPr>
        <w:t>ا</w:t>
      </w:r>
      <w:r w:rsidR="0036525E" w:rsidRPr="00422037">
        <w:rPr>
          <w:rtl/>
        </w:rPr>
        <w:t>لخدمات المساعدة للإذاعة/الخدمات المساعدة للإنتاج</w:t>
      </w:r>
      <w:r w:rsidR="0036525E" w:rsidRPr="00422037">
        <w:rPr>
          <w:rFonts w:hint="cs"/>
          <w:rtl/>
        </w:rPr>
        <w:t>) في</w:t>
      </w:r>
      <w:r w:rsidR="00422037">
        <w:rPr>
          <w:rFonts w:hint="eastAsia"/>
          <w:rtl/>
        </w:rPr>
        <w:t> </w:t>
      </w:r>
      <w:r w:rsidR="0036525E" w:rsidRPr="00422037">
        <w:rPr>
          <w:rFonts w:hint="cs"/>
          <w:rtl/>
        </w:rPr>
        <w:t xml:space="preserve">الإقليم </w:t>
      </w:r>
      <w:r w:rsidR="0036525E" w:rsidRPr="00422037">
        <w:t>1</w:t>
      </w:r>
      <w:r w:rsidR="0036525E" w:rsidRPr="00422037">
        <w:rPr>
          <w:rFonts w:hint="cs"/>
          <w:rtl/>
          <w:lang w:bidi="ar-EG"/>
        </w:rPr>
        <w:t>.</w:t>
      </w:r>
      <w:r w:rsidR="006C2756">
        <w:rPr>
          <w:rFonts w:hint="cs"/>
          <w:color w:val="000000"/>
          <w:rtl/>
        </w:rPr>
        <w:t xml:space="preserve"> </w:t>
      </w:r>
    </w:p>
    <w:p w:rsidR="00047AE1" w:rsidRDefault="00B21760" w:rsidP="00047AE1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:rsidR="00047AE1" w:rsidRPr="0036525E" w:rsidRDefault="0036525E" w:rsidP="00422037">
      <w:pPr>
        <w:rPr>
          <w:bCs/>
          <w:rtl/>
        </w:rPr>
      </w:pPr>
      <w:r w:rsidRPr="0036525E">
        <w:rPr>
          <w:rFonts w:hint="cs"/>
          <w:rtl/>
        </w:rPr>
        <w:t>تقترح الكاميرون</w:t>
      </w:r>
      <w:r>
        <w:rPr>
          <w:rFonts w:hint="cs"/>
          <w:rtl/>
        </w:rPr>
        <w:t xml:space="preserve"> تعديل الرقم </w:t>
      </w:r>
      <w:r w:rsidRPr="00422037">
        <w:rPr>
          <w:bCs/>
        </w:rPr>
        <w:t>296.5</w:t>
      </w:r>
      <w:r w:rsidRPr="0036525E">
        <w:rPr>
          <w:rtl/>
        </w:rPr>
        <w:t xml:space="preserve"> من لوائح الراديو</w:t>
      </w:r>
      <w:r>
        <w:rPr>
          <w:rFonts w:hint="cs"/>
          <w:rtl/>
        </w:rPr>
        <w:t xml:space="preserve"> على النحو التالي.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8D5B9B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8D5B9B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8D5B9B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1371ED" w:rsidRDefault="008D5B9B">
      <w:pPr>
        <w:pStyle w:val="Proposal"/>
      </w:pPr>
      <w:r>
        <w:t>MOD</w:t>
      </w:r>
      <w:r>
        <w:tab/>
        <w:t>CME/35A2/1</w:t>
      </w:r>
    </w:p>
    <w:p w:rsidR="001371ED" w:rsidRPr="00422037" w:rsidRDefault="008D5B9B" w:rsidP="00422037">
      <w:pPr>
        <w:rPr>
          <w:sz w:val="16"/>
          <w:szCs w:val="22"/>
          <w:rtl/>
        </w:rPr>
      </w:pPr>
      <w:r w:rsidRPr="004671FC">
        <w:rPr>
          <w:rStyle w:val="Artdef"/>
        </w:rPr>
        <w:t>296.5</w:t>
      </w:r>
      <w:r w:rsidRPr="00197BD8">
        <w:rPr>
          <w:b/>
          <w:sz w:val="16"/>
          <w:szCs w:val="22"/>
          <w:rtl/>
        </w:rPr>
        <w:tab/>
      </w:r>
      <w:r w:rsidRPr="00197BD8">
        <w:rPr>
          <w:b/>
          <w:i/>
          <w:iCs/>
          <w:rtl/>
        </w:rPr>
        <w:t>توزيع إضافي</w:t>
      </w:r>
      <w:r w:rsidRPr="00197BD8">
        <w:rPr>
          <w:rtl/>
        </w:rPr>
        <w:t xml:space="preserve">:  يوزع النطاق </w:t>
      </w:r>
      <w:r w:rsidRPr="00197BD8">
        <w:t>MHz </w:t>
      </w:r>
      <w:del w:id="2" w:author="Debs, Mohamad" w:date="2015-10-24T12:52:00Z">
        <w:r w:rsidRPr="00197BD8" w:rsidDel="0036525E">
          <w:delText>790</w:delText>
        </w:r>
      </w:del>
      <w:ins w:id="3" w:author="Debs, Mohamad" w:date="2015-10-24T12:52:00Z">
        <w:r w:rsidR="0036525E">
          <w:t>694</w:t>
        </w:r>
      </w:ins>
      <w:r w:rsidRPr="00197BD8">
        <w:noBreakHyphen/>
        <w:t>470</w:t>
      </w:r>
      <w:r w:rsidRPr="00197BD8">
        <w:rPr>
          <w:rtl/>
        </w:rPr>
        <w:t xml:space="preserve"> أيضاً على أساس ثانوي للخدمة المتنقلة البرية من أجل التطبيقات المساعدة للإذاعة</w:t>
      </w:r>
      <w:r>
        <w:rPr>
          <w:rtl/>
        </w:rPr>
        <w:t xml:space="preserve"> </w:t>
      </w:r>
      <w:ins w:id="4" w:author="Debs, Mohamad" w:date="2015-10-24T12:54:00Z">
        <w:r w:rsidR="0036525E">
          <w:rPr>
            <w:rFonts w:hint="cs"/>
            <w:rtl/>
            <w:lang w:bidi="ar-EG"/>
          </w:rPr>
          <w:t xml:space="preserve">وإنتاج البرامج </w:t>
        </w:r>
      </w:ins>
      <w:r>
        <w:rPr>
          <w:rtl/>
        </w:rPr>
        <w:t>في </w:t>
      </w:r>
      <w:r w:rsidRPr="00197BD8">
        <w:rPr>
          <w:rtl/>
        </w:rPr>
        <w:t xml:space="preserve">البلدان التالية: </w:t>
      </w:r>
      <w:r w:rsidRPr="00197BD8">
        <w:rPr>
          <w:rFonts w:hint="cs"/>
          <w:rtl/>
        </w:rPr>
        <w:t>ألبانيا و</w:t>
      </w:r>
      <w:r w:rsidRPr="00197BD8">
        <w:rPr>
          <w:rtl/>
        </w:rPr>
        <w:t xml:space="preserve">ألمانيا والمملكة العربية السعودية والنمسا </w:t>
      </w:r>
      <w:r w:rsidRPr="00197BD8">
        <w:rPr>
          <w:rFonts w:hint="cs"/>
          <w:rtl/>
        </w:rPr>
        <w:t xml:space="preserve">والبحرين </w:t>
      </w:r>
      <w:r w:rsidRPr="00197BD8">
        <w:rPr>
          <w:rtl/>
        </w:rPr>
        <w:t>وبلجيكا</w:t>
      </w:r>
      <w:r w:rsidRPr="00197BD8">
        <w:rPr>
          <w:rFonts w:hint="cs"/>
          <w:rtl/>
        </w:rPr>
        <w:t xml:space="preserve"> وبنن والبوسنة والهرسك وبوركينا فاصو والكاميرون </w:t>
      </w:r>
      <w:r w:rsidRPr="00197BD8">
        <w:rPr>
          <w:rtl/>
        </w:rPr>
        <w:t>وجمهورية الكونغو</w:t>
      </w:r>
      <w:r w:rsidRPr="00197BD8">
        <w:rPr>
          <w:rFonts w:hint="cs"/>
          <w:rtl/>
        </w:rPr>
        <w:t xml:space="preserve"> </w:t>
      </w:r>
      <w:r w:rsidRPr="00197BD8">
        <w:rPr>
          <w:rtl/>
        </w:rPr>
        <w:t>وكوت ديفوار</w:t>
      </w:r>
      <w:r w:rsidRPr="00197BD8">
        <w:rPr>
          <w:rFonts w:hint="cs"/>
          <w:rtl/>
        </w:rPr>
        <w:t xml:space="preserve"> وكرواتيا</w:t>
      </w:r>
      <w:r w:rsidRPr="00197BD8">
        <w:rPr>
          <w:rtl/>
        </w:rPr>
        <w:t xml:space="preserve"> والدانمارك</w:t>
      </w:r>
      <w:r w:rsidRPr="00197BD8">
        <w:rPr>
          <w:rFonts w:hint="cs"/>
          <w:rtl/>
        </w:rPr>
        <w:t xml:space="preserve"> وجيبوتي</w:t>
      </w:r>
      <w:r w:rsidRPr="00197BD8">
        <w:rPr>
          <w:rtl/>
        </w:rPr>
        <w:t xml:space="preserve"> ومصر </w:t>
      </w:r>
      <w:r w:rsidRPr="00197BD8">
        <w:rPr>
          <w:rFonts w:hint="cs"/>
          <w:rtl/>
        </w:rPr>
        <w:t xml:space="preserve">والإمارات العربية المتحدة </w:t>
      </w:r>
      <w:r w:rsidRPr="00197BD8">
        <w:rPr>
          <w:rtl/>
        </w:rPr>
        <w:t>وإسبانيا وإستونيا</w:t>
      </w:r>
      <w:r w:rsidRPr="00197BD8">
        <w:rPr>
          <w:rFonts w:hint="cs"/>
          <w:rtl/>
        </w:rPr>
        <w:t xml:space="preserve"> </w:t>
      </w:r>
      <w:r w:rsidRPr="00197BD8">
        <w:rPr>
          <w:rtl/>
        </w:rPr>
        <w:t xml:space="preserve">وفنلندا وفرنسا </w:t>
      </w:r>
      <w:r>
        <w:rPr>
          <w:rFonts w:hint="cs"/>
          <w:rtl/>
        </w:rPr>
        <w:t>و</w:t>
      </w:r>
      <w:r w:rsidRPr="00197BD8">
        <w:rPr>
          <w:rFonts w:hint="cs"/>
          <w:rtl/>
        </w:rPr>
        <w:t>غابون وغانا و</w:t>
      </w:r>
      <w:r>
        <w:rPr>
          <w:rFonts w:hint="cs"/>
          <w:rtl/>
        </w:rPr>
        <w:t>العراق</w:t>
      </w:r>
      <w:r w:rsidRPr="00197BD8">
        <w:rPr>
          <w:rFonts w:hint="cs"/>
          <w:rtl/>
        </w:rPr>
        <w:t xml:space="preserve"> </w:t>
      </w:r>
      <w:proofErr w:type="spellStart"/>
      <w:r w:rsidRPr="00197BD8">
        <w:rPr>
          <w:rtl/>
        </w:rPr>
        <w:t>وأيرلندا</w:t>
      </w:r>
      <w:proofErr w:type="spellEnd"/>
      <w:r w:rsidRPr="00197BD8">
        <w:rPr>
          <w:rtl/>
        </w:rPr>
        <w:t xml:space="preserve"> </w:t>
      </w:r>
      <w:r w:rsidRPr="00197BD8">
        <w:rPr>
          <w:rFonts w:hint="cs"/>
          <w:rtl/>
        </w:rPr>
        <w:t>و</w:t>
      </w:r>
      <w:r w:rsidRPr="00197BD8">
        <w:rPr>
          <w:rFonts w:asciiTheme="minorHAnsi" w:eastAsia="SimSun" w:hAnsiTheme="minorHAnsi" w:hint="cs"/>
          <w:rtl/>
          <w:lang w:eastAsia="zh-CN"/>
        </w:rPr>
        <w:t>أيسلندا</w:t>
      </w:r>
      <w:r w:rsidRPr="00197BD8">
        <w:rPr>
          <w:rtl/>
        </w:rPr>
        <w:t xml:space="preserve"> وإسرائيل وإيطاليا والأردن </w:t>
      </w:r>
      <w:r w:rsidRPr="00197BD8">
        <w:rPr>
          <w:rFonts w:hint="cs"/>
          <w:rtl/>
        </w:rPr>
        <w:t>والكويت ولاتفيا وجمهورية مقدونيا اليوغوسلافية السابقة وليبيا و</w:t>
      </w:r>
      <w:r w:rsidRPr="00197BD8">
        <w:rPr>
          <w:rtl/>
        </w:rPr>
        <w:t xml:space="preserve">ليختنشتاين وليتوانيا </w:t>
      </w:r>
      <w:proofErr w:type="spellStart"/>
      <w:r w:rsidRPr="00197BD8">
        <w:rPr>
          <w:rFonts w:hint="cs"/>
          <w:rtl/>
        </w:rPr>
        <w:t>ولكمسبرغ</w:t>
      </w:r>
      <w:proofErr w:type="spellEnd"/>
      <w:r w:rsidRPr="00197BD8">
        <w:rPr>
          <w:rFonts w:hint="cs"/>
          <w:rtl/>
        </w:rPr>
        <w:t xml:space="preserve"> ومالي </w:t>
      </w:r>
      <w:r w:rsidRPr="00197BD8">
        <w:rPr>
          <w:rtl/>
        </w:rPr>
        <w:t xml:space="preserve">ومالطة والمغرب </w:t>
      </w:r>
      <w:r w:rsidRPr="00197BD8">
        <w:rPr>
          <w:rFonts w:hint="cs"/>
          <w:rtl/>
        </w:rPr>
        <w:t xml:space="preserve">ومولدوفا </w:t>
      </w:r>
      <w:r w:rsidRPr="00197BD8">
        <w:rPr>
          <w:rtl/>
        </w:rPr>
        <w:t xml:space="preserve">وموناكو </w:t>
      </w:r>
      <w:r w:rsidRPr="00197BD8">
        <w:rPr>
          <w:rFonts w:hint="cs"/>
          <w:rtl/>
        </w:rPr>
        <w:t xml:space="preserve">والنيجر </w:t>
      </w:r>
      <w:r w:rsidRPr="00197BD8">
        <w:rPr>
          <w:rtl/>
        </w:rPr>
        <w:t>والنرويج وع</w:t>
      </w:r>
      <w:r w:rsidRPr="00197BD8">
        <w:rPr>
          <w:rFonts w:hint="cs"/>
          <w:rtl/>
        </w:rPr>
        <w:t>ُ</w:t>
      </w:r>
      <w:r w:rsidRPr="00197BD8">
        <w:rPr>
          <w:rtl/>
        </w:rPr>
        <w:t xml:space="preserve">مان وهولندا </w:t>
      </w:r>
      <w:r w:rsidRPr="00197BD8">
        <w:rPr>
          <w:rFonts w:hint="cs"/>
          <w:rtl/>
        </w:rPr>
        <w:t xml:space="preserve">وبولندا </w:t>
      </w:r>
      <w:r w:rsidRPr="00197BD8">
        <w:rPr>
          <w:rtl/>
        </w:rPr>
        <w:t xml:space="preserve">والبرتغال </w:t>
      </w:r>
      <w:r w:rsidRPr="00197BD8">
        <w:rPr>
          <w:rFonts w:hint="eastAsia"/>
          <w:rtl/>
        </w:rPr>
        <w:t>وقطر</w:t>
      </w:r>
      <w:r w:rsidRPr="00197BD8">
        <w:rPr>
          <w:rFonts w:hint="cs"/>
          <w:rtl/>
        </w:rPr>
        <w:t xml:space="preserve"> </w:t>
      </w:r>
      <w:r w:rsidRPr="00197BD8">
        <w:rPr>
          <w:rtl/>
        </w:rPr>
        <w:t xml:space="preserve">والجمهورية العربية السورية </w:t>
      </w:r>
      <w:r w:rsidRPr="00197BD8">
        <w:rPr>
          <w:rFonts w:hint="cs"/>
          <w:rtl/>
        </w:rPr>
        <w:t xml:space="preserve">وسلوفاكيا والجمهورية التشيكية </w:t>
      </w:r>
      <w:r w:rsidRPr="00197BD8">
        <w:rPr>
          <w:rtl/>
        </w:rPr>
        <w:t xml:space="preserve">والمملكة </w:t>
      </w:r>
      <w:r w:rsidRPr="00422037">
        <w:rPr>
          <w:rtl/>
        </w:rPr>
        <w:t xml:space="preserve">المتحدة والسودان والسويد وسويسرا وسوازيلاند </w:t>
      </w:r>
      <w:r w:rsidRPr="00422037">
        <w:rPr>
          <w:rFonts w:hint="cs"/>
          <w:rtl/>
        </w:rPr>
        <w:t xml:space="preserve">وتشاد وتوغو </w:t>
      </w:r>
      <w:r w:rsidRPr="00422037">
        <w:rPr>
          <w:rtl/>
        </w:rPr>
        <w:t>وتونس</w:t>
      </w:r>
      <w:r w:rsidRPr="00422037">
        <w:rPr>
          <w:rFonts w:hint="cs"/>
          <w:rtl/>
        </w:rPr>
        <w:t xml:space="preserve"> وتركيا</w:t>
      </w:r>
      <w:r w:rsidRPr="00422037">
        <w:rPr>
          <w:rFonts w:hint="eastAsia"/>
          <w:rtl/>
        </w:rPr>
        <w:t>،</w:t>
      </w:r>
      <w:del w:id="5" w:author="Saad, Samuel" w:date="2015-10-13T15:47:00Z">
        <w:r w:rsidRPr="00422037" w:rsidDel="008D5B9B">
          <w:rPr>
            <w:rtl/>
          </w:rPr>
          <w:delText xml:space="preserve"> ويوزع النطاق </w:delText>
        </w:r>
        <w:r w:rsidRPr="00422037" w:rsidDel="008D5B9B">
          <w:delText>MHz 698</w:delText>
        </w:r>
        <w:r w:rsidRPr="00422037" w:rsidDel="008D5B9B">
          <w:sym w:font="Symbol" w:char="F02D"/>
        </w:r>
        <w:r w:rsidRPr="00422037" w:rsidDel="008D5B9B">
          <w:delText>470</w:delText>
        </w:r>
        <w:r w:rsidRPr="00422037" w:rsidDel="008D5B9B">
          <w:rPr>
            <w:rtl/>
          </w:rPr>
          <w:delText xml:space="preserve"> على أساس ثانوي لل</w:delText>
        </w:r>
        <w:r w:rsidRPr="00422037" w:rsidDel="008D5B9B">
          <w:rPr>
            <w:rFonts w:hint="eastAsia"/>
            <w:rtl/>
          </w:rPr>
          <w:delText>خدمة</w:delText>
        </w:r>
        <w:r w:rsidRPr="00422037" w:rsidDel="008D5B9B">
          <w:rPr>
            <w:rtl/>
          </w:rPr>
          <w:delText xml:space="preserve"> </w:delText>
        </w:r>
        <w:r w:rsidRPr="00422037" w:rsidDel="008D5B9B">
          <w:rPr>
            <w:rFonts w:hint="eastAsia"/>
            <w:rtl/>
          </w:rPr>
          <w:delText>المتنقلة</w:delText>
        </w:r>
        <w:r w:rsidRPr="00422037" w:rsidDel="008D5B9B">
          <w:rPr>
            <w:rtl/>
          </w:rPr>
          <w:delText xml:space="preserve"> </w:delText>
        </w:r>
        <w:r w:rsidRPr="00422037" w:rsidDel="008D5B9B">
          <w:rPr>
            <w:rFonts w:hint="eastAsia"/>
            <w:rtl/>
          </w:rPr>
          <w:delText>البرية</w:delText>
        </w:r>
        <w:r w:rsidRPr="00422037" w:rsidDel="008D5B9B">
          <w:rPr>
            <w:rtl/>
          </w:rPr>
          <w:delText xml:space="preserve"> </w:delText>
        </w:r>
        <w:r w:rsidRPr="00422037" w:rsidDel="008D5B9B">
          <w:rPr>
            <w:rFonts w:hint="eastAsia"/>
            <w:rtl/>
          </w:rPr>
          <w:delText>من</w:delText>
        </w:r>
        <w:r w:rsidRPr="00422037" w:rsidDel="008D5B9B">
          <w:rPr>
            <w:rtl/>
          </w:rPr>
          <w:delText xml:space="preserve"> </w:delText>
        </w:r>
        <w:r w:rsidRPr="00422037" w:rsidDel="008D5B9B">
          <w:rPr>
            <w:rFonts w:hint="eastAsia"/>
            <w:rtl/>
          </w:rPr>
          <w:delText>أجل</w:delText>
        </w:r>
        <w:r w:rsidRPr="00422037" w:rsidDel="008D5B9B">
          <w:rPr>
            <w:rtl/>
          </w:rPr>
          <w:delText xml:space="preserve"> </w:delText>
        </w:r>
        <w:r w:rsidRPr="00422037" w:rsidDel="008D5B9B">
          <w:rPr>
            <w:rFonts w:hint="eastAsia"/>
            <w:rtl/>
          </w:rPr>
          <w:delText>التطبيقات</w:delText>
        </w:r>
        <w:r w:rsidRPr="00422037" w:rsidDel="008D5B9B">
          <w:rPr>
            <w:rtl/>
          </w:rPr>
          <w:delText xml:space="preserve"> </w:delText>
        </w:r>
        <w:r w:rsidRPr="00422037" w:rsidDel="008D5B9B">
          <w:rPr>
            <w:rFonts w:hint="eastAsia"/>
            <w:rtl/>
          </w:rPr>
          <w:delText>المساعدة</w:delText>
        </w:r>
        <w:r w:rsidRPr="00422037" w:rsidDel="008D5B9B">
          <w:rPr>
            <w:rtl/>
          </w:rPr>
          <w:delText xml:space="preserve"> </w:delText>
        </w:r>
        <w:r w:rsidRPr="00422037" w:rsidDel="008D5B9B">
          <w:rPr>
            <w:rFonts w:hint="eastAsia"/>
            <w:rtl/>
          </w:rPr>
          <w:delText>للإذاعة</w:delText>
        </w:r>
        <w:r w:rsidRPr="00422037" w:rsidDel="008D5B9B">
          <w:rPr>
            <w:rtl/>
          </w:rPr>
          <w:delText xml:space="preserve"> في </w:delText>
        </w:r>
        <w:r w:rsidRPr="00422037" w:rsidDel="008D5B9B">
          <w:rPr>
            <w:rFonts w:hint="eastAsia"/>
            <w:rtl/>
          </w:rPr>
          <w:delText>البلدان</w:delText>
        </w:r>
        <w:r w:rsidRPr="00422037" w:rsidDel="008D5B9B">
          <w:rPr>
            <w:rtl/>
          </w:rPr>
          <w:delText xml:space="preserve"> </w:delText>
        </w:r>
        <w:r w:rsidRPr="00422037" w:rsidDel="008D5B9B">
          <w:rPr>
            <w:rFonts w:hint="eastAsia"/>
            <w:rtl/>
          </w:rPr>
          <w:delText>التالية</w:delText>
        </w:r>
        <w:r w:rsidRPr="00422037" w:rsidDel="008D5B9B">
          <w:rPr>
            <w:rtl/>
          </w:rPr>
          <w:delText>:</w:delText>
        </w:r>
      </w:del>
      <w:r w:rsidRPr="00422037">
        <w:rPr>
          <w:rFonts w:hint="cs"/>
          <w:rtl/>
        </w:rPr>
        <w:t xml:space="preserve"> </w:t>
      </w:r>
      <w:ins w:id="6" w:author="Debs, Mohamad" w:date="2015-10-24T12:55:00Z">
        <w:r w:rsidR="0036525E" w:rsidRPr="00422037">
          <w:rPr>
            <w:rFonts w:hint="cs"/>
            <w:rtl/>
          </w:rPr>
          <w:t>و</w:t>
        </w:r>
      </w:ins>
      <w:r w:rsidRPr="00422037">
        <w:rPr>
          <w:rFonts w:hint="eastAsia"/>
          <w:rtl/>
        </w:rPr>
        <w:t>أنغولا</w:t>
      </w:r>
      <w:r w:rsidRPr="00422037">
        <w:rPr>
          <w:rtl/>
        </w:rPr>
        <w:t xml:space="preserve"> وبوتسوانا وليسوتو </w:t>
      </w:r>
      <w:r w:rsidRPr="00422037">
        <w:rPr>
          <w:rFonts w:hint="eastAsia"/>
          <w:rtl/>
        </w:rPr>
        <w:t>وملاوي</w:t>
      </w:r>
      <w:r w:rsidRPr="00422037">
        <w:rPr>
          <w:rtl/>
        </w:rPr>
        <w:t xml:space="preserve"> </w:t>
      </w:r>
      <w:r w:rsidRPr="00422037">
        <w:rPr>
          <w:rFonts w:hint="eastAsia"/>
          <w:rtl/>
        </w:rPr>
        <w:t>وموريشيوس</w:t>
      </w:r>
      <w:r w:rsidRPr="00422037">
        <w:rPr>
          <w:rtl/>
        </w:rPr>
        <w:t xml:space="preserve"> </w:t>
      </w:r>
      <w:r w:rsidRPr="00422037">
        <w:rPr>
          <w:rFonts w:hint="eastAsia"/>
          <w:rtl/>
        </w:rPr>
        <w:t>وموزامبيق</w:t>
      </w:r>
      <w:r w:rsidRPr="00422037">
        <w:rPr>
          <w:rtl/>
        </w:rPr>
        <w:t xml:space="preserve"> </w:t>
      </w:r>
      <w:r w:rsidRPr="00422037">
        <w:rPr>
          <w:rFonts w:hint="eastAsia"/>
          <w:rtl/>
        </w:rPr>
        <w:t>وناميبيا</w:t>
      </w:r>
      <w:r w:rsidRPr="00422037">
        <w:rPr>
          <w:rtl/>
        </w:rPr>
        <w:t xml:space="preserve"> </w:t>
      </w:r>
      <w:r w:rsidRPr="00422037">
        <w:rPr>
          <w:rFonts w:hint="cs"/>
          <w:rtl/>
        </w:rPr>
        <w:t xml:space="preserve">ونيجيريا </w:t>
      </w:r>
      <w:r w:rsidRPr="00422037">
        <w:rPr>
          <w:rFonts w:hint="eastAsia"/>
          <w:rtl/>
        </w:rPr>
        <w:t>وجنوب</w:t>
      </w:r>
      <w:r w:rsidRPr="00422037">
        <w:rPr>
          <w:rtl/>
        </w:rPr>
        <w:t xml:space="preserve"> </w:t>
      </w:r>
      <w:r w:rsidRPr="00422037">
        <w:rPr>
          <w:rFonts w:hint="eastAsia"/>
          <w:rtl/>
        </w:rPr>
        <w:t>إفريقيا</w:t>
      </w:r>
      <w:r w:rsidRPr="00422037">
        <w:rPr>
          <w:rtl/>
        </w:rPr>
        <w:t xml:space="preserve"> </w:t>
      </w:r>
      <w:proofErr w:type="spellStart"/>
      <w:r w:rsidRPr="00422037">
        <w:rPr>
          <w:rFonts w:hint="eastAsia"/>
          <w:rtl/>
        </w:rPr>
        <w:t>وتن‍زانيا</w:t>
      </w:r>
      <w:proofErr w:type="spellEnd"/>
      <w:r w:rsidRPr="00422037">
        <w:rPr>
          <w:rtl/>
        </w:rPr>
        <w:t xml:space="preserve"> </w:t>
      </w:r>
      <w:r w:rsidRPr="00422037">
        <w:rPr>
          <w:rFonts w:hint="eastAsia"/>
          <w:rtl/>
        </w:rPr>
        <w:t>وزامبيا</w:t>
      </w:r>
      <w:r w:rsidRPr="00422037">
        <w:rPr>
          <w:rtl/>
        </w:rPr>
        <w:t xml:space="preserve"> </w:t>
      </w:r>
      <w:r w:rsidRPr="00422037">
        <w:rPr>
          <w:rFonts w:hint="eastAsia"/>
          <w:rtl/>
        </w:rPr>
        <w:t>وزيمبابوي</w:t>
      </w:r>
      <w:r w:rsidR="0036525E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197BD8">
        <w:rPr>
          <w:rtl/>
        </w:rPr>
        <w:t>ويجب على محطات الخدمة المتنقلة البرية</w:t>
      </w:r>
      <w:r>
        <w:rPr>
          <w:rtl/>
        </w:rPr>
        <w:t xml:space="preserve"> في </w:t>
      </w:r>
      <w:r w:rsidRPr="00197BD8">
        <w:rPr>
          <w:rtl/>
        </w:rPr>
        <w:t>البلدان المذكورة</w:t>
      </w:r>
      <w:r>
        <w:rPr>
          <w:rtl/>
        </w:rPr>
        <w:t xml:space="preserve"> في </w:t>
      </w:r>
      <w:r w:rsidRPr="00197BD8">
        <w:rPr>
          <w:rtl/>
        </w:rPr>
        <w:t>هذه الحاشية ألا تتسبب</w:t>
      </w:r>
      <w:r>
        <w:rPr>
          <w:rtl/>
        </w:rPr>
        <w:t xml:space="preserve"> في </w:t>
      </w:r>
      <w:r w:rsidRPr="00197BD8">
        <w:rPr>
          <w:rtl/>
        </w:rPr>
        <w:t>تداخل ضار لمحطات قائمة</w:t>
      </w:r>
      <w:r>
        <w:rPr>
          <w:rtl/>
        </w:rPr>
        <w:t xml:space="preserve"> أو </w:t>
      </w:r>
      <w:r w:rsidRPr="00197BD8">
        <w:rPr>
          <w:rtl/>
        </w:rPr>
        <w:t>مخطط لها تعمل وفقاً لجدول توزيع نطاقات التردد</w:t>
      </w:r>
      <w:r>
        <w:rPr>
          <w:rtl/>
        </w:rPr>
        <w:t xml:space="preserve"> في </w:t>
      </w:r>
      <w:r w:rsidRPr="00197BD8">
        <w:rPr>
          <w:rtl/>
        </w:rPr>
        <w:t>بلدان غير البلدان المذكورة</w:t>
      </w:r>
      <w:r>
        <w:rPr>
          <w:rtl/>
        </w:rPr>
        <w:t xml:space="preserve"> في </w:t>
      </w:r>
      <w:r w:rsidRPr="00197BD8">
        <w:rPr>
          <w:rtl/>
        </w:rPr>
        <w:t>هذه</w:t>
      </w:r>
      <w:r>
        <w:rPr>
          <w:rFonts w:hint="cs"/>
          <w:rtl/>
        </w:rPr>
        <w:t> </w:t>
      </w:r>
      <w:r w:rsidRPr="00197BD8">
        <w:rPr>
          <w:rtl/>
        </w:rPr>
        <w:t>الحاشية.</w:t>
      </w:r>
      <w:r w:rsidRPr="00197BD8">
        <w:rPr>
          <w:sz w:val="16"/>
          <w:szCs w:val="16"/>
          <w:rtl/>
        </w:rPr>
        <w:t>    </w:t>
      </w:r>
      <w:r w:rsidRPr="00197BD8">
        <w:rPr>
          <w:sz w:val="16"/>
          <w:szCs w:val="16"/>
        </w:rPr>
        <w:t>(WRC</w:t>
      </w:r>
      <w:r w:rsidRPr="00197BD8">
        <w:rPr>
          <w:sz w:val="16"/>
          <w:szCs w:val="16"/>
        </w:rPr>
        <w:sym w:font="Symbol" w:char="F02D"/>
      </w:r>
      <w:del w:id="7" w:author="Debs, Mohamad" w:date="2015-10-24T12:56:00Z">
        <w:r w:rsidRPr="00197BD8" w:rsidDel="0036525E">
          <w:rPr>
            <w:sz w:val="16"/>
            <w:szCs w:val="16"/>
          </w:rPr>
          <w:delText>12</w:delText>
        </w:r>
      </w:del>
      <w:ins w:id="8" w:author="Debs, Mohamad" w:date="2015-10-24T12:56:00Z">
        <w:r w:rsidR="0036525E" w:rsidRPr="00197BD8">
          <w:rPr>
            <w:sz w:val="16"/>
            <w:szCs w:val="16"/>
          </w:rPr>
          <w:t>1</w:t>
        </w:r>
        <w:r w:rsidR="0036525E">
          <w:rPr>
            <w:sz w:val="16"/>
            <w:szCs w:val="16"/>
          </w:rPr>
          <w:t>5</w:t>
        </w:r>
      </w:ins>
      <w:r w:rsidRPr="00197BD8">
        <w:rPr>
          <w:sz w:val="16"/>
          <w:szCs w:val="16"/>
        </w:rPr>
        <w:t>)</w:t>
      </w:r>
    </w:p>
    <w:p w:rsidR="008D5B9B" w:rsidRPr="008D5B9B" w:rsidRDefault="008D5B9B" w:rsidP="002A03AF">
      <w:pPr>
        <w:pStyle w:val="Reasons"/>
        <w:jc w:val="center"/>
      </w:pPr>
      <w:r>
        <w:rPr>
          <w:rtl/>
        </w:rPr>
        <w:t>_______</w:t>
      </w:r>
      <w:bookmarkStart w:id="9" w:name="_GoBack"/>
      <w:bookmarkEnd w:id="9"/>
      <w:r>
        <w:rPr>
          <w:rtl/>
        </w:rPr>
        <w:t>____</w:t>
      </w:r>
    </w:p>
    <w:sectPr w:rsidR="008D5B9B" w:rsidRPr="008D5B9B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8D5B9B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422037">
      <w:rPr>
        <w:noProof/>
        <w:lang w:val="es-ES"/>
      </w:rPr>
      <w:t>P:\ARA\ITU-R\CONF-R\CMR15\000\035ADD02A.docx</w:t>
    </w:r>
    <w:r w:rsidRPr="00CB4300">
      <w:fldChar w:fldCharType="end"/>
    </w:r>
    <w:r w:rsidRPr="00CB4300">
      <w:rPr>
        <w:lang w:val="es-ES"/>
      </w:rPr>
      <w:t xml:space="preserve">  (</w:t>
    </w:r>
    <w:r w:rsidR="008D5B9B">
      <w:rPr>
        <w:rFonts w:hint="cs"/>
        <w:rtl/>
        <w:lang w:val="es-ES"/>
      </w:rPr>
      <w:t>387425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2A03AF">
      <w:rPr>
        <w:noProof/>
      </w:rPr>
      <w:t>28.10.15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422037">
      <w:rPr>
        <w:noProof/>
      </w:rPr>
      <w:t>25.10.15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422037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422037">
      <w:rPr>
        <w:noProof/>
        <w:lang w:val="es-ES"/>
      </w:rPr>
      <w:t>P:\ARA\ITU-R\CONF-R\CMR15\000\035ADD02A.docx</w:t>
    </w:r>
    <w:r>
      <w:fldChar w:fldCharType="end"/>
    </w:r>
    <w:r w:rsidRPr="00CB4300">
      <w:rPr>
        <w:lang w:val="es-ES"/>
      </w:rPr>
      <w:t xml:space="preserve">   (</w:t>
    </w:r>
    <w:r w:rsidR="008D5B9B">
      <w:rPr>
        <w:rFonts w:hint="cs"/>
        <w:rtl/>
        <w:lang w:val="es-ES"/>
      </w:rPr>
      <w:t>387452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2A03AF">
      <w:rPr>
        <w:noProof/>
      </w:rPr>
      <w:t>28.10.15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422037">
      <w:rPr>
        <w:noProof/>
      </w:rPr>
      <w:t>25.10.15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A03AF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35(Add.2)-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bs, Mohamad">
    <w15:presenceInfo w15:providerId="AD" w15:userId="S-1-5-21-8740799-900759487-1415713722-39435"/>
  </w15:person>
  <w15:person w15:author="Saad, Samuel">
    <w15:presenceInfo w15:providerId="AD" w15:userId="S-1-5-21-8740799-900759487-1415713722-493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47AE1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371ED"/>
    <w:rsid w:val="001464F2"/>
    <w:rsid w:val="001525A4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03AF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6525E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037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C53F3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966A1"/>
    <w:rsid w:val="006A12AC"/>
    <w:rsid w:val="006A2162"/>
    <w:rsid w:val="006B0D94"/>
    <w:rsid w:val="006B4B90"/>
    <w:rsid w:val="006B658C"/>
    <w:rsid w:val="006C2756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444D7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5B9B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21760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98DBD537-D0C8-448C-BDEE-F7602FF5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R15-WRC15-C-0035!A2!MSW-A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1C246BA-67CD-4B74-927A-4875BE0360F3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http://purl.org/dc/terms/"/>
    <ds:schemaRef ds:uri="http://schemas.microsoft.com/office/2006/documentManagement/types"/>
    <ds:schemaRef ds:uri="996b2e75-67fd-4955-a3b0-5ab9934cb50b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B4CAB172-758B-4544-873F-20939E9B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385</Words>
  <Characters>2439</Characters>
  <Application>Microsoft Office Word</Application>
  <DocSecurity>0</DocSecurity>
  <Lines>71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R15-WRC15-C-0035!A2!MSW-A</vt:lpstr>
    </vt:vector>
  </TitlesOfParts>
  <Manager>General Secretariat - Pool</Manager>
  <Company>International Telecommunication Union (ITU)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R15-WRC15-C-0035!A2!MSW-A</dc:title>
  <dc:creator>Documents Proposals Manager (DPM)</dc:creator>
  <cp:keywords>DPM_v5.2015.10.8_prod</cp:keywords>
  <cp:lastModifiedBy>Murphy, Margaret</cp:lastModifiedBy>
  <cp:revision>5</cp:revision>
  <cp:lastPrinted>2015-10-25T12:33:00Z</cp:lastPrinted>
  <dcterms:created xsi:type="dcterms:W3CDTF">2015-10-25T12:26:00Z</dcterms:created>
  <dcterms:modified xsi:type="dcterms:W3CDTF">2015-10-28T21:55:00Z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