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Revision 1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34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15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Thailand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B33712">
            <w:pPr>
              <w:pStyle w:val="Title2"/>
              <w:spacing w:before="240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B33712" w:rsidRDefault="00A538A6" w:rsidP="00B33712">
            <w:pPr>
              <w:pStyle w:val="Agendaitem"/>
              <w:spacing w:before="120"/>
              <w:rPr>
                <w:lang w:val="en-US"/>
              </w:rPr>
            </w:pPr>
          </w:p>
        </w:tc>
      </w:tr>
    </w:tbl>
    <w:bookmarkEnd w:id="6"/>
    <w:bookmarkEnd w:id="7"/>
    <w:p w:rsidR="00B33712" w:rsidRDefault="00B33712" w:rsidP="00C35535">
      <w:r>
        <w:t xml:space="preserve">The Administration of Thailand is pleased to submit proposals addressing certain agenda items of the 2015 World Radiocommunication Conference which will be contained in </w:t>
      </w:r>
      <w:r w:rsidR="00C02C03">
        <w:t xml:space="preserve">its </w:t>
      </w:r>
      <w:r>
        <w:t>addenda to this document, each of which corresponds to individual agenda items. Thailand is also supporting a number of proposals developed by Asia Pacific Telecommunity (APT</w:t>
      </w:r>
      <w:r w:rsidR="00C02C03">
        <w:t>) and joint proposals of common</w:t>
      </w:r>
      <w:r>
        <w:t xml:space="preserve"> interests developed with other </w:t>
      </w:r>
      <w:r w:rsidR="00C35535">
        <w:t>a</w:t>
      </w:r>
      <w:bookmarkStart w:id="8" w:name="_GoBack"/>
      <w:bookmarkEnd w:id="8"/>
      <w:r>
        <w:t>dministrations.</w:t>
      </w:r>
    </w:p>
    <w:p w:rsidR="00B33712" w:rsidRDefault="00B33712" w:rsidP="00C02C03">
      <w:pPr>
        <w:rPr>
          <w:rStyle w:val="FootnoteTextChar"/>
        </w:rPr>
      </w:pPr>
      <w:r w:rsidRPr="00680229">
        <w:t xml:space="preserve">The detailed proposals are provided in </w:t>
      </w:r>
      <w:r w:rsidR="00C02C03">
        <w:t>five</w:t>
      </w:r>
      <w:r w:rsidRPr="00680229">
        <w:t xml:space="preserve"> addenda to this contribution, one per agenda item of the Conference. </w:t>
      </w:r>
      <w:r w:rsidRPr="007F76DA">
        <w:rPr>
          <w:rStyle w:val="FootnoteTextChar"/>
        </w:rPr>
        <w:t xml:space="preserve">The proposals are </w:t>
      </w:r>
      <w:r>
        <w:rPr>
          <w:rStyle w:val="FootnoteTextChar"/>
        </w:rPr>
        <w:t>summarized below</w:t>
      </w:r>
      <w:r w:rsidRPr="007F76DA">
        <w:rPr>
          <w:rStyle w:val="FootnoteTextChar"/>
        </w:rPr>
        <w:t>:</w:t>
      </w:r>
    </w:p>
    <w:p w:rsidR="00B33712" w:rsidRDefault="00B33712" w:rsidP="00B33712">
      <w:pPr>
        <w:spacing w:before="0"/>
        <w:rPr>
          <w:rStyle w:val="FootnoteTextCh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1617"/>
        <w:gridCol w:w="4801"/>
      </w:tblGrid>
      <w:tr w:rsidR="00B33712" w:rsidRPr="00B33712" w:rsidTr="00E9433C">
        <w:trPr>
          <w:tblHeader/>
        </w:trPr>
        <w:tc>
          <w:tcPr>
            <w:tcW w:w="3285" w:type="dxa"/>
          </w:tcPr>
          <w:p w:rsidR="00B33712" w:rsidRPr="00B33712" w:rsidRDefault="00B33712" w:rsidP="006E2AEA">
            <w:pPr>
              <w:pStyle w:val="Tablehead"/>
              <w:rPr>
                <w:rStyle w:val="FootnoteTextChar"/>
                <w:rFonts w:ascii="Times New Roman Bold" w:hAnsi="Times New Roman Bold"/>
                <w:sz w:val="20"/>
              </w:rPr>
            </w:pPr>
            <w:r w:rsidRPr="00B33712">
              <w:rPr>
                <w:rStyle w:val="FootnoteTextChar"/>
                <w:rFonts w:ascii="Times New Roman Bold" w:hAnsi="Times New Roman Bold"/>
                <w:sz w:val="20"/>
              </w:rPr>
              <w:t>Document</w:t>
            </w:r>
          </w:p>
        </w:tc>
        <w:tc>
          <w:tcPr>
            <w:tcW w:w="1643" w:type="dxa"/>
          </w:tcPr>
          <w:p w:rsidR="00B33712" w:rsidRPr="00B33712" w:rsidRDefault="00B33712" w:rsidP="006E2AEA">
            <w:pPr>
              <w:pStyle w:val="Tablehead"/>
              <w:rPr>
                <w:rStyle w:val="FootnoteTextChar"/>
                <w:rFonts w:ascii="Times New Roman Bold" w:hAnsi="Times New Roman Bold"/>
                <w:sz w:val="20"/>
              </w:rPr>
            </w:pPr>
            <w:r w:rsidRPr="00B33712">
              <w:rPr>
                <w:rStyle w:val="FootnoteTextChar"/>
                <w:rFonts w:ascii="Times New Roman Bold" w:hAnsi="Times New Roman Bold"/>
                <w:sz w:val="20"/>
              </w:rPr>
              <w:t>Agenda item</w:t>
            </w:r>
          </w:p>
        </w:tc>
        <w:tc>
          <w:tcPr>
            <w:tcW w:w="4927" w:type="dxa"/>
          </w:tcPr>
          <w:p w:rsidR="00B33712" w:rsidRPr="00B33712" w:rsidRDefault="00B33712" w:rsidP="006E2AEA">
            <w:pPr>
              <w:pStyle w:val="Tablehead"/>
              <w:rPr>
                <w:rStyle w:val="FootnoteTextChar"/>
                <w:rFonts w:ascii="Times New Roman Bold" w:hAnsi="Times New Roman Bold"/>
                <w:sz w:val="20"/>
              </w:rPr>
            </w:pPr>
            <w:r w:rsidRPr="00B33712">
              <w:rPr>
                <w:rStyle w:val="FootnoteTextChar"/>
                <w:rFonts w:ascii="Times New Roman Bold" w:hAnsi="Times New Roman Bold"/>
                <w:sz w:val="20"/>
              </w:rPr>
              <w:t>Proposal</w:t>
            </w:r>
          </w:p>
        </w:tc>
      </w:tr>
      <w:tr w:rsidR="00B33712" w:rsidRPr="00B33712" w:rsidTr="00E9433C">
        <w:tc>
          <w:tcPr>
            <w:tcW w:w="3285" w:type="dxa"/>
          </w:tcPr>
          <w:p w:rsidR="00B33712" w:rsidRPr="00B33712" w:rsidRDefault="00B33712" w:rsidP="006E2AEA">
            <w:pPr>
              <w:pStyle w:val="Tabletext"/>
              <w:rPr>
                <w:rStyle w:val="FootnoteTextChar"/>
                <w:sz w:val="20"/>
              </w:rPr>
            </w:pPr>
            <w:r w:rsidRPr="00B33712">
              <w:t>Addendum 4</w:t>
            </w:r>
          </w:p>
        </w:tc>
        <w:tc>
          <w:tcPr>
            <w:tcW w:w="1643" w:type="dxa"/>
          </w:tcPr>
          <w:p w:rsidR="00B33712" w:rsidRPr="00B33712" w:rsidRDefault="00B33712" w:rsidP="006E2AEA">
            <w:pPr>
              <w:pStyle w:val="Tabletext"/>
              <w:jc w:val="center"/>
              <w:rPr>
                <w:rStyle w:val="FootnoteTextChar"/>
                <w:sz w:val="20"/>
              </w:rPr>
            </w:pPr>
            <w:r w:rsidRPr="00B33712">
              <w:rPr>
                <w:rStyle w:val="FootnoteTextChar"/>
                <w:sz w:val="20"/>
              </w:rPr>
              <w:t>1.4</w:t>
            </w:r>
          </w:p>
        </w:tc>
        <w:tc>
          <w:tcPr>
            <w:tcW w:w="4927" w:type="dxa"/>
          </w:tcPr>
          <w:p w:rsidR="00B33712" w:rsidRPr="00B33712" w:rsidRDefault="00B33712" w:rsidP="006E2AEA">
            <w:pPr>
              <w:pStyle w:val="Tabletext"/>
              <w:rPr>
                <w:rStyle w:val="FootnoteTextChar"/>
                <w:sz w:val="20"/>
              </w:rPr>
            </w:pPr>
            <w:r w:rsidRPr="00B33712">
              <w:rPr>
                <w:rStyle w:val="FootnoteTextChar"/>
                <w:sz w:val="20"/>
              </w:rPr>
              <w:t xml:space="preserve">Support </w:t>
            </w:r>
            <w:r w:rsidRPr="00B33712">
              <w:t>Method B of the CPM Report</w:t>
            </w:r>
            <w:r w:rsidRPr="00B33712">
              <w:rPr>
                <w:rStyle w:val="FootnoteTextChar"/>
                <w:sz w:val="20"/>
              </w:rPr>
              <w:t xml:space="preserve"> (No change to the RR)</w:t>
            </w:r>
          </w:p>
        </w:tc>
      </w:tr>
      <w:tr w:rsidR="00B33712" w:rsidRPr="00B33712" w:rsidTr="00E9433C">
        <w:tc>
          <w:tcPr>
            <w:tcW w:w="3285" w:type="dxa"/>
          </w:tcPr>
          <w:p w:rsidR="00B33712" w:rsidRPr="00B33712" w:rsidRDefault="00B33712" w:rsidP="006E2AEA">
            <w:pPr>
              <w:pStyle w:val="Tabletext"/>
              <w:rPr>
                <w:rStyle w:val="FootnoteTextChar"/>
                <w:sz w:val="20"/>
              </w:rPr>
            </w:pPr>
            <w:r w:rsidRPr="00B33712">
              <w:t>Addendum 6 Addendum 2</w:t>
            </w:r>
          </w:p>
        </w:tc>
        <w:tc>
          <w:tcPr>
            <w:tcW w:w="1643" w:type="dxa"/>
          </w:tcPr>
          <w:p w:rsidR="00B33712" w:rsidRPr="00B33712" w:rsidRDefault="00B33712" w:rsidP="006E2AEA">
            <w:pPr>
              <w:pStyle w:val="Tabletext"/>
              <w:jc w:val="center"/>
              <w:rPr>
                <w:rStyle w:val="FootnoteTextChar"/>
                <w:sz w:val="20"/>
              </w:rPr>
            </w:pPr>
            <w:r w:rsidRPr="00B33712">
              <w:rPr>
                <w:rStyle w:val="FootnoteTextChar"/>
                <w:sz w:val="20"/>
              </w:rPr>
              <w:t>1.6.2</w:t>
            </w:r>
          </w:p>
        </w:tc>
        <w:tc>
          <w:tcPr>
            <w:tcW w:w="4927" w:type="dxa"/>
          </w:tcPr>
          <w:p w:rsidR="00B33712" w:rsidRPr="00B33712" w:rsidRDefault="00B33712" w:rsidP="006E2AEA">
            <w:pPr>
              <w:pStyle w:val="Tabletext"/>
            </w:pPr>
            <w:r w:rsidRPr="00B33712">
              <w:rPr>
                <w:rStyle w:val="FootnoteTextChar"/>
                <w:sz w:val="20"/>
              </w:rPr>
              <w:t>Support</w:t>
            </w:r>
            <w:r w:rsidRPr="00B33712">
              <w:t xml:space="preserve"> Method E2 of the CPM Report (to make additional allocation to the FSS (Earth-to-space) in the band 13.45-13.75 GHz)</w:t>
            </w:r>
          </w:p>
          <w:p w:rsidR="00B33712" w:rsidRPr="00B33712" w:rsidRDefault="00B33712" w:rsidP="006E2AEA">
            <w:pPr>
              <w:pStyle w:val="Tabletext"/>
            </w:pPr>
            <w:r w:rsidRPr="00B33712">
              <w:t>Support Method F2 Option B of the CPM Report (to modify the existing FSS allocation to support FSS uplinks that are not limited to BSS feeder links in the band 14.5-14.8 GHz) with modification (a minimum antenna diameter of 2.4 m of the FSS earth stations and no change to Section 4 of Annex 1 to AP30A of the RR)</w:t>
            </w:r>
          </w:p>
        </w:tc>
      </w:tr>
      <w:tr w:rsidR="00B33712" w:rsidRPr="00B33712" w:rsidTr="00E9433C">
        <w:tc>
          <w:tcPr>
            <w:tcW w:w="3285" w:type="dxa"/>
          </w:tcPr>
          <w:p w:rsidR="00B33712" w:rsidRPr="00B33712" w:rsidRDefault="00B33712" w:rsidP="006E2AEA">
            <w:pPr>
              <w:pStyle w:val="Tabletext"/>
              <w:rPr>
                <w:rStyle w:val="FootnoteTextChar"/>
                <w:sz w:val="20"/>
              </w:rPr>
            </w:pPr>
            <w:r w:rsidRPr="00B33712">
              <w:t>Addendum 8</w:t>
            </w:r>
          </w:p>
        </w:tc>
        <w:tc>
          <w:tcPr>
            <w:tcW w:w="1643" w:type="dxa"/>
          </w:tcPr>
          <w:p w:rsidR="00B33712" w:rsidRPr="00B33712" w:rsidRDefault="00B33712" w:rsidP="006E2AEA">
            <w:pPr>
              <w:pStyle w:val="Tabletext"/>
              <w:jc w:val="center"/>
              <w:rPr>
                <w:rStyle w:val="FootnoteTextChar"/>
                <w:sz w:val="20"/>
              </w:rPr>
            </w:pPr>
            <w:r w:rsidRPr="00B33712">
              <w:rPr>
                <w:rStyle w:val="FootnoteTextChar"/>
                <w:sz w:val="20"/>
              </w:rPr>
              <w:t>1.8</w:t>
            </w:r>
          </w:p>
        </w:tc>
        <w:tc>
          <w:tcPr>
            <w:tcW w:w="4927" w:type="dxa"/>
          </w:tcPr>
          <w:p w:rsidR="00B33712" w:rsidRPr="00B33712" w:rsidRDefault="00B33712" w:rsidP="006E2AEA">
            <w:pPr>
              <w:pStyle w:val="Tabletext"/>
            </w:pPr>
            <w:r w:rsidRPr="00B33712">
              <w:rPr>
                <w:rStyle w:val="FootnoteTextChar"/>
                <w:sz w:val="20"/>
              </w:rPr>
              <w:t>Support</w:t>
            </w:r>
            <w:r w:rsidRPr="00B33712">
              <w:t xml:space="preserve"> Method C of the CPM Report (</w:t>
            </w:r>
            <w:r w:rsidRPr="00B33712">
              <w:rPr>
                <w:rFonts w:eastAsia="Calibri"/>
              </w:rPr>
              <w:t>to modify provisions of Resolution 902 (WRC-03) relating to earth stations located on board vessels (ESVs)</w:t>
            </w:r>
            <w:r w:rsidRPr="00B33712">
              <w:t>)</w:t>
            </w:r>
          </w:p>
        </w:tc>
      </w:tr>
      <w:tr w:rsidR="00B33712" w:rsidRPr="00B33712" w:rsidTr="00E9433C">
        <w:tc>
          <w:tcPr>
            <w:tcW w:w="3285" w:type="dxa"/>
          </w:tcPr>
          <w:p w:rsidR="00B33712" w:rsidRPr="00B33712" w:rsidRDefault="00B33712" w:rsidP="006E2AEA">
            <w:pPr>
              <w:pStyle w:val="Tabletext"/>
              <w:rPr>
                <w:rStyle w:val="FootnoteTextChar"/>
                <w:sz w:val="20"/>
              </w:rPr>
            </w:pPr>
            <w:r w:rsidRPr="00B33712">
              <w:t>Addendum 22</w:t>
            </w:r>
          </w:p>
        </w:tc>
        <w:tc>
          <w:tcPr>
            <w:tcW w:w="1643" w:type="dxa"/>
          </w:tcPr>
          <w:p w:rsidR="00B33712" w:rsidRPr="00B33712" w:rsidRDefault="00B33712" w:rsidP="006E2AEA">
            <w:pPr>
              <w:pStyle w:val="Tabletext"/>
              <w:jc w:val="center"/>
              <w:rPr>
                <w:rStyle w:val="FootnoteTextChar"/>
                <w:sz w:val="20"/>
              </w:rPr>
            </w:pPr>
            <w:r w:rsidRPr="00B33712">
              <w:rPr>
                <w:rStyle w:val="FootnoteTextChar"/>
                <w:sz w:val="20"/>
              </w:rPr>
              <w:t>8</w:t>
            </w:r>
          </w:p>
        </w:tc>
        <w:tc>
          <w:tcPr>
            <w:tcW w:w="4927" w:type="dxa"/>
          </w:tcPr>
          <w:p w:rsidR="00B33712" w:rsidRPr="00B33712" w:rsidRDefault="003D0F6D" w:rsidP="006E2AEA">
            <w:pPr>
              <w:pStyle w:val="Tabletext"/>
            </w:pPr>
            <w:r>
              <w:t xml:space="preserve">Modify RR </w:t>
            </w:r>
            <w:r w:rsidR="00B33712" w:rsidRPr="00B33712">
              <w:t>Nos. 5.167, 5.167A, 5.221, 5.418 and 5.481</w:t>
            </w:r>
          </w:p>
        </w:tc>
      </w:tr>
      <w:tr w:rsidR="00B33712" w:rsidRPr="00B33712" w:rsidTr="00E9433C">
        <w:tc>
          <w:tcPr>
            <w:tcW w:w="3285" w:type="dxa"/>
          </w:tcPr>
          <w:p w:rsidR="00B33712" w:rsidRPr="00B33712" w:rsidRDefault="00B33712" w:rsidP="006E2AEA">
            <w:pPr>
              <w:pStyle w:val="Tabletext"/>
              <w:rPr>
                <w:rStyle w:val="FootnoteTextChar"/>
                <w:sz w:val="20"/>
              </w:rPr>
            </w:pPr>
            <w:r w:rsidRPr="00B33712">
              <w:t>Addendum 23 Addendum 2</w:t>
            </w:r>
          </w:p>
        </w:tc>
        <w:tc>
          <w:tcPr>
            <w:tcW w:w="1643" w:type="dxa"/>
          </w:tcPr>
          <w:p w:rsidR="00B33712" w:rsidRPr="00B33712" w:rsidRDefault="00B33712" w:rsidP="006E2AEA">
            <w:pPr>
              <w:pStyle w:val="Tabletext"/>
              <w:jc w:val="center"/>
              <w:rPr>
                <w:rStyle w:val="FootnoteTextChar"/>
                <w:sz w:val="20"/>
              </w:rPr>
            </w:pPr>
            <w:r w:rsidRPr="00B33712">
              <w:rPr>
                <w:rStyle w:val="FootnoteTextChar"/>
                <w:sz w:val="20"/>
              </w:rPr>
              <w:t>9.1.2</w:t>
            </w:r>
          </w:p>
        </w:tc>
        <w:tc>
          <w:tcPr>
            <w:tcW w:w="4927" w:type="dxa"/>
          </w:tcPr>
          <w:p w:rsidR="00B33712" w:rsidRPr="00B33712" w:rsidRDefault="00B33712" w:rsidP="006E2AEA">
            <w:pPr>
              <w:pStyle w:val="Tabletext"/>
            </w:pPr>
            <w:r w:rsidRPr="00B33712">
              <w:rPr>
                <w:rStyle w:val="FootnoteTextChar"/>
                <w:sz w:val="20"/>
              </w:rPr>
              <w:t>Support</w:t>
            </w:r>
            <w:r w:rsidR="00C02C03">
              <w:t xml:space="preserve"> Option 1C of the CPM Report</w:t>
            </w:r>
            <w:r w:rsidRPr="00B33712">
              <w:t xml:space="preserve"> (to apply pdf threshold for the 6/4 GHz and 10/11/12/14 GHz bands only in respect of satellite networks outside the coordination arc) and Option 2A of the CPM Report (reduction of coordination arc)</w:t>
            </w:r>
          </w:p>
        </w:tc>
      </w:tr>
    </w:tbl>
    <w:p w:rsidR="00241FA2" w:rsidRPr="00B33712" w:rsidRDefault="00B33712" w:rsidP="00B33712">
      <w:pPr>
        <w:jc w:val="center"/>
      </w:pPr>
      <w:r>
        <w:t>______________</w:t>
      </w:r>
    </w:p>
    <w:sectPr w:rsidR="00241FA2" w:rsidRPr="00B33712" w:rsidSect="0039169B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D0F6D">
      <w:rPr>
        <w:noProof/>
        <w:lang w:val="en-US"/>
      </w:rPr>
      <w:t>Y:\APP\BR\POOL\WRC-15\DOC (Contributions)\1-100\034R1E.docx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F7163">
      <w:rPr>
        <w:noProof/>
      </w:rPr>
      <w:t>16.10.15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D0F6D">
      <w:rPr>
        <w:noProof/>
      </w:rPr>
      <w:t>16.10.15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D0F6D">
      <w:rPr>
        <w:lang w:val="en-US"/>
      </w:rPr>
      <w:t>Y:\APP\BR\POOL\WRC-15\DOC (Contributions)\1-100\034R1E.docx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F7163">
      <w:t>16.10.15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D0F6D">
      <w:t>16.10.15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E2AEA">
      <w:rPr>
        <w:lang w:val="en-US"/>
      </w:rPr>
      <w:t>P:\ENG\ITU-R\CONF-R\CMR15\000\034REV1E.docx</w:t>
    </w:r>
    <w:r>
      <w:fldChar w:fldCharType="end"/>
    </w:r>
    <w:r w:rsidR="006E2AEA">
      <w:t xml:space="preserve"> (388418)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F7163">
      <w:t>16.10.15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D0F6D">
      <w:t>16.10.15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B33712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9" w:name="OLE_LINK1"/>
    <w:bookmarkStart w:id="10" w:name="OLE_LINK2"/>
    <w:bookmarkStart w:id="11" w:name="OLE_LINK3"/>
    <w:r w:rsidR="00EB55C6">
      <w:t>34(Rev.1)</w:t>
    </w:r>
    <w:bookmarkEnd w:id="9"/>
    <w:bookmarkEnd w:id="10"/>
    <w:bookmarkEnd w:id="11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6D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2AE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92F3D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33712"/>
    <w:rsid w:val="00B639E9"/>
    <w:rsid w:val="00B817CD"/>
    <w:rsid w:val="00B81A7D"/>
    <w:rsid w:val="00B94AD0"/>
    <w:rsid w:val="00BB3A95"/>
    <w:rsid w:val="00BD6CCE"/>
    <w:rsid w:val="00C0018F"/>
    <w:rsid w:val="00C02C03"/>
    <w:rsid w:val="00C16A5A"/>
    <w:rsid w:val="00C20466"/>
    <w:rsid w:val="00C214ED"/>
    <w:rsid w:val="00C234E6"/>
    <w:rsid w:val="00C324A8"/>
    <w:rsid w:val="00C35535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7163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1C63927F-8D70-417C-86E5-E511BBDA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R15-WRC15-C-0034!R1!MSW-E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007255-3781-4224-8E32-AB166072BF68}">
  <ds:schemaRefs>
    <ds:schemaRef ds:uri="http://schemas.microsoft.com/office/2006/documentManagement/types"/>
    <ds:schemaRef ds:uri="http://www.w3.org/XML/1998/namespace"/>
    <ds:schemaRef ds:uri="32a1a8c5-2265-4ebc-b7a0-2071e2c5c9bb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151ED423-F12D-4C7B-A300-CC9D1E230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5</TotalTime>
  <Pages>1</Pages>
  <Words>297</Words>
  <Characters>1617</Characters>
  <Application>Microsoft Office Word</Application>
  <DocSecurity>0</DocSecurity>
  <Lines>62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R15-WRC15-C-0034!R1!MSW-E</vt:lpstr>
    </vt:vector>
  </TitlesOfParts>
  <Manager>General Secretariat - Pool</Manager>
  <Company>International Telecommunication Union (ITU)</Company>
  <LinksUpToDate>false</LinksUpToDate>
  <CharactersWithSpaces>1868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R15-WRC15-C-0034!R1!MSW-E</dc:title>
  <dc:subject>World Radiocommunication Conference - 2015</dc:subject>
  <dc:creator>Documents Proposals Manager (DPM)</dc:creator>
  <cp:keywords>DPM_v5.2015.10.15_prod</cp:keywords>
  <dc:description>Uploaded on 2015.07.06</dc:description>
  <cp:lastModifiedBy>Currie, Jane</cp:lastModifiedBy>
  <cp:revision>5</cp:revision>
  <cp:lastPrinted>2015-10-16T12:51:00Z</cp:lastPrinted>
  <dcterms:created xsi:type="dcterms:W3CDTF">2015-10-19T19:59:00Z</dcterms:created>
  <dcterms:modified xsi:type="dcterms:W3CDTF">2015-10-19T20:04:00Z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