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 xml:space="preserve">Conférence mondiale des radiocommunications </w:t>
            </w:r>
            <w:bookmarkStart w:id="0" w:name="_GoBack"/>
            <w:bookmarkEnd w:id="0"/>
            <w:r>
              <w:rPr>
                <w:rFonts w:ascii="Verdana" w:hAnsi="Verdana"/>
                <w:b/>
                <w:bCs/>
                <w:sz w:val="20"/>
                <w:lang w:val="fr-CH"/>
              </w:rPr>
              <w:t>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2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CE1A58" w:rsidRDefault="00293642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CE1A58">
              <w:rPr>
                <w:rFonts w:ascii="Verdana" w:eastAsia="SimSun" w:hAnsi="Verdana" w:cs="Traditional Arabic"/>
                <w:b/>
                <w:sz w:val="20"/>
                <w:lang w:val="fr-CH"/>
              </w:rPr>
              <w:t>Révision 1</w:t>
            </w:r>
            <w:r w:rsidR="00CE1A58" w:rsidRPr="00CE1A58">
              <w:rPr>
                <w:rFonts w:ascii="Verdana" w:eastAsia="SimSun" w:hAnsi="Verdana" w:cs="Traditional Arabic"/>
                <w:b/>
                <w:sz w:val="20"/>
                <w:lang w:val="fr-CH"/>
              </w:rPr>
              <w:t xml:space="preserve"> du</w:t>
            </w:r>
            <w:r w:rsidR="006D4724" w:rsidRPr="00CE1A58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34</w:t>
            </w:r>
            <w:r w:rsidR="00CE1A58" w:rsidRPr="00CE1A58">
              <w:rPr>
                <w:rFonts w:ascii="Verdana" w:eastAsia="SimSun" w:hAnsi="Verdana" w:cs="Traditional Arabic"/>
                <w:b/>
                <w:sz w:val="20"/>
                <w:lang w:val="fr-CH"/>
              </w:rPr>
              <w:t>(Add.</w:t>
            </w:r>
            <w:r w:rsidR="00CE1A58">
              <w:rPr>
                <w:rFonts w:ascii="Verdana" w:eastAsia="SimSun" w:hAnsi="Verdana" w:cs="Traditional Arabic"/>
                <w:b/>
                <w:sz w:val="20"/>
                <w:lang w:val="fr-CH"/>
              </w:rPr>
              <w:t>4)</w:t>
            </w:r>
            <w:r w:rsidR="00BB1D82" w:rsidRPr="00CE1A58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="006D4724" w:rsidRPr="00CE1A58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2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CE1A58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CE1A58" w:rsidRDefault="00CE1A58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>
              <w:rPr>
                <w:rFonts w:ascii="Verdana" w:hAnsi="Verdana"/>
                <w:b/>
                <w:sz w:val="20"/>
                <w:lang w:val="fr-CH"/>
              </w:rPr>
              <w:t>15 octobre</w:t>
            </w:r>
            <w:r w:rsidR="00690C7B" w:rsidRPr="00CE1A58">
              <w:rPr>
                <w:rFonts w:ascii="Verdana" w:hAnsi="Verdana"/>
                <w:b/>
                <w:sz w:val="20"/>
                <w:lang w:val="fr-CH"/>
              </w:rPr>
              <w:t xml:space="preserve">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CE1A58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</w:tcPr>
          <w:p w:rsidR="00690C7B" w:rsidRPr="00CE1A58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CE1A58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CE1A58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CE1A58" w:rsidRDefault="00690C7B" w:rsidP="00690C7B">
            <w:pPr>
              <w:pStyle w:val="Source"/>
              <w:rPr>
                <w:lang w:val="fr-CH"/>
              </w:rPr>
            </w:pPr>
            <w:bookmarkStart w:id="3" w:name="dsource" w:colFirst="0" w:colLast="0"/>
            <w:r w:rsidRPr="00CE1A58">
              <w:rPr>
                <w:lang w:val="fr-CH"/>
              </w:rPr>
              <w:t>Thaïlande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A63DBE" w:rsidRDefault="00A63DBE" w:rsidP="00690C7B">
            <w:pPr>
              <w:pStyle w:val="Title1"/>
              <w:rPr>
                <w:lang w:val="fr-CH"/>
              </w:rPr>
            </w:pPr>
            <w:bookmarkStart w:id="4" w:name="dtitle1" w:colFirst="0" w:colLast="0"/>
            <w:bookmarkEnd w:id="3"/>
            <w:r w:rsidRPr="00A63DBE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A63DBE" w:rsidRDefault="00690C7B" w:rsidP="00690C7B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4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6" w:name="dtitle3" w:colFirst="0" w:colLast="0"/>
            <w:bookmarkEnd w:id="5"/>
            <w:r w:rsidRPr="006D4724">
              <w:t>Point 1.4 de l'ordre du jour</w:t>
            </w:r>
          </w:p>
        </w:tc>
      </w:tr>
    </w:tbl>
    <w:bookmarkEnd w:id="6"/>
    <w:p w:rsidR="001C0E40" w:rsidRPr="0058132E" w:rsidRDefault="00D174B0" w:rsidP="00F67C4D">
      <w:pPr>
        <w:rPr>
          <w:lang w:val="fr-CA"/>
        </w:rPr>
      </w:pPr>
      <w:r w:rsidRPr="0058132E">
        <w:rPr>
          <w:lang w:val="fr-CA"/>
        </w:rPr>
        <w:t>1.4</w:t>
      </w:r>
      <w:r w:rsidRPr="0058132E">
        <w:rPr>
          <w:lang w:val="fr-CA"/>
        </w:rPr>
        <w:tab/>
        <w:t>envisager une nouvelle attribution possible au service d'amateur à titre secondaire dans la bande 5 250-5 450 kHz, conformément à la Résolution </w:t>
      </w:r>
      <w:r w:rsidRPr="00D036B2">
        <w:rPr>
          <w:rFonts w:ascii="Times New Roman Bold" w:hAnsi="Times New Roman Bold" w:cs="Times New Roman Bold"/>
          <w:b/>
          <w:lang w:val="fr-CA"/>
        </w:rPr>
        <w:t>649 (CMR</w:t>
      </w:r>
      <w:r w:rsidRPr="00D036B2">
        <w:rPr>
          <w:rFonts w:ascii="Times New Roman Bold" w:hAnsi="Times New Roman Bold" w:cs="Times New Roman Bold"/>
          <w:b/>
          <w:lang w:val="fr-CA"/>
        </w:rPr>
        <w:noBreakHyphen/>
        <w:t>12)</w:t>
      </w:r>
      <w:r w:rsidRPr="0058132E">
        <w:rPr>
          <w:lang w:val="fr-CA"/>
        </w:rPr>
        <w:t>;</w:t>
      </w:r>
    </w:p>
    <w:p w:rsidR="00CE1A58" w:rsidRPr="00CE1A58" w:rsidRDefault="00CE1A58" w:rsidP="00E96B21">
      <w:pPr>
        <w:pStyle w:val="Headingb"/>
      </w:pPr>
      <w:r w:rsidRPr="00CE1A58">
        <w:t>Introduction</w:t>
      </w:r>
    </w:p>
    <w:p w:rsidR="00CE1A58" w:rsidRDefault="00CE1A58" w:rsidP="00E96B21">
      <w:r>
        <w:t xml:space="preserve">Par sa Résolution 649, la CMR-12 a invité la CMR-15 à envisager une attribution possible à titre secondaire au service d'amateur au voisinage de 5 300 kHz, en vue de fournir des communications fiables </w:t>
      </w:r>
      <w:r w:rsidR="00CA00FD">
        <w:t xml:space="preserve">pour faciliter les </w:t>
      </w:r>
      <w:r w:rsidR="00112B8F">
        <w:t>interventions dans les situations</w:t>
      </w:r>
      <w:r w:rsidR="00CA00FD">
        <w:t xml:space="preserve"> </w:t>
      </w:r>
      <w:r>
        <w:rPr>
          <w:color w:val="000000"/>
        </w:rPr>
        <w:t xml:space="preserve">d'urgence et </w:t>
      </w:r>
      <w:r w:rsidR="00CA00FD">
        <w:rPr>
          <w:color w:val="000000"/>
        </w:rPr>
        <w:t xml:space="preserve">les opérations </w:t>
      </w:r>
      <w:r>
        <w:rPr>
          <w:color w:val="000000"/>
        </w:rPr>
        <w:t>de secours en cas de catastrophe</w:t>
      </w:r>
      <w:r w:rsidR="00CA00FD">
        <w:rPr>
          <w:color w:val="000000"/>
        </w:rPr>
        <w:t>. Au titre de cette Résolution, l</w:t>
      </w:r>
      <w:r w:rsidR="00112B8F">
        <w:rPr>
          <w:color w:val="000000"/>
        </w:rPr>
        <w:t>'</w:t>
      </w:r>
      <w:r w:rsidR="00CA00FD">
        <w:rPr>
          <w:color w:val="000000"/>
        </w:rPr>
        <w:t xml:space="preserve">UIT-R est également invité </w:t>
      </w:r>
      <w:r w:rsidR="00CA00FD">
        <w:t xml:space="preserve">à </w:t>
      </w:r>
      <w:r w:rsidR="00D44B53">
        <w:t>étudier les besoins </w:t>
      </w:r>
      <w:r w:rsidR="00CA00FD" w:rsidRPr="00112B8F">
        <w:t>de spectre en vue d'une attribution à titre secondaire, pas nécessairement contiguë, dans la bande 5</w:t>
      </w:r>
      <w:r w:rsidR="00112B8F">
        <w:t> </w:t>
      </w:r>
      <w:r w:rsidR="00CA00FD" w:rsidRPr="00112B8F">
        <w:t>250-5 450 kHz et à réaliser des études de partage afin de déterminer l'incidence sur les autres services bénéficiant d'attributions dans la bande et dans les bandes adjacentes.</w:t>
      </w:r>
    </w:p>
    <w:p w:rsidR="00CA00FD" w:rsidRPr="00CA00FD" w:rsidRDefault="00CA00FD" w:rsidP="00112B8F">
      <w:pPr>
        <w:rPr>
          <w:lang w:val="fr-CH"/>
        </w:rPr>
      </w:pPr>
      <w:r w:rsidRPr="00CA00FD">
        <w:rPr>
          <w:lang w:val="fr-CH"/>
        </w:rPr>
        <w:t>Etant donné que la bande de fréquences 5 250-5 450 kHz</w:t>
      </w:r>
      <w:r>
        <w:rPr>
          <w:lang w:val="fr-CH"/>
        </w:rPr>
        <w:t xml:space="preserve"> est actuellement utilisée par les services fixe et mobile à titre primaire en Thaïlande et que des études de partage menées par l</w:t>
      </w:r>
      <w:r w:rsidR="00112B8F">
        <w:rPr>
          <w:lang w:val="fr-CH"/>
        </w:rPr>
        <w:t>'</w:t>
      </w:r>
      <w:r w:rsidR="004C718A">
        <w:rPr>
          <w:lang w:val="fr-CH"/>
        </w:rPr>
        <w:t>UIT-R indiquent que l</w:t>
      </w:r>
      <w:r>
        <w:rPr>
          <w:lang w:val="fr-CH"/>
        </w:rPr>
        <w:t>es stations</w:t>
      </w:r>
      <w:r w:rsidR="00112B8F">
        <w:rPr>
          <w:lang w:val="fr-CH"/>
        </w:rPr>
        <w:t xml:space="preserve"> du service</w:t>
      </w:r>
      <w:r>
        <w:rPr>
          <w:lang w:val="fr-CH"/>
        </w:rPr>
        <w:t xml:space="preserve"> d</w:t>
      </w:r>
      <w:r w:rsidR="00112B8F">
        <w:rPr>
          <w:lang w:val="fr-CH"/>
        </w:rPr>
        <w:t>'</w:t>
      </w:r>
      <w:r>
        <w:rPr>
          <w:lang w:val="fr-CH"/>
        </w:rPr>
        <w:t xml:space="preserve">amateur </w:t>
      </w:r>
      <w:r w:rsidR="00112B8F">
        <w:rPr>
          <w:lang w:val="fr-CH"/>
        </w:rPr>
        <w:t>pourraient causer</w:t>
      </w:r>
      <w:r>
        <w:rPr>
          <w:lang w:val="fr-CH"/>
        </w:rPr>
        <w:t xml:space="preserve"> des brouillages aux </w:t>
      </w:r>
      <w:r w:rsidR="00112B8F">
        <w:rPr>
          <w:lang w:val="fr-CH"/>
        </w:rPr>
        <w:t>services fixe</w:t>
      </w:r>
      <w:r>
        <w:rPr>
          <w:lang w:val="fr-CH"/>
        </w:rPr>
        <w:t xml:space="preserve"> </w:t>
      </w:r>
      <w:r w:rsidR="00112B8F">
        <w:rPr>
          <w:lang w:val="fr-CH"/>
        </w:rPr>
        <w:t>ou</w:t>
      </w:r>
      <w:r>
        <w:rPr>
          <w:lang w:val="fr-CH"/>
        </w:rPr>
        <w:t xml:space="preserve"> mobile, la Thaïlande propose de ne pas modifier le Tableau d</w:t>
      </w:r>
      <w:r w:rsidR="00112B8F">
        <w:rPr>
          <w:lang w:val="fr-CH"/>
        </w:rPr>
        <w:t>'</w:t>
      </w:r>
      <w:r>
        <w:rPr>
          <w:lang w:val="fr-CH"/>
        </w:rPr>
        <w:t>attribution des bandes de fréquences</w:t>
      </w:r>
      <w:r w:rsidR="00112B8F">
        <w:rPr>
          <w:lang w:val="fr-CH"/>
        </w:rPr>
        <w:t xml:space="preserve"> du Règlement des radiocommunications</w:t>
      </w:r>
      <w:r>
        <w:rPr>
          <w:lang w:val="fr-CH"/>
        </w:rPr>
        <w:t xml:space="preserve"> en ce qui concerne la bande</w:t>
      </w:r>
      <w:r w:rsidR="00112B8F">
        <w:rPr>
          <w:lang w:val="fr-CH"/>
        </w:rPr>
        <w:t xml:space="preserve"> de fréquences</w:t>
      </w:r>
      <w:r w:rsidR="00D44B53">
        <w:rPr>
          <w:lang w:val="fr-CH"/>
        </w:rPr>
        <w:t> </w:t>
      </w:r>
      <w:r w:rsidRPr="00CA00FD">
        <w:rPr>
          <w:lang w:val="fr-CH"/>
        </w:rPr>
        <w:t>5</w:t>
      </w:r>
      <w:r w:rsidR="00112B8F">
        <w:rPr>
          <w:lang w:val="fr-CH"/>
        </w:rPr>
        <w:t> </w:t>
      </w:r>
      <w:r w:rsidRPr="00CA00FD">
        <w:rPr>
          <w:lang w:val="fr-CH"/>
        </w:rPr>
        <w:t>250-5 450 kHz</w:t>
      </w:r>
      <w:r>
        <w:rPr>
          <w:lang w:val="fr-CH"/>
        </w:rPr>
        <w:t>. La Résolution 649 (CMR-12) serait supprimée en conséquence.</w:t>
      </w:r>
    </w:p>
    <w:p w:rsidR="00CE1A58" w:rsidRPr="00CA00FD" w:rsidRDefault="00CA00FD" w:rsidP="00112B8F">
      <w:pPr>
        <w:pStyle w:val="Headingb"/>
        <w:keepNext w:val="0"/>
        <w:rPr>
          <w:lang w:val="fr-CH"/>
        </w:rPr>
      </w:pPr>
      <w:r>
        <w:rPr>
          <w:lang w:val="fr-CH"/>
        </w:rPr>
        <w:t>Propositions</w:t>
      </w:r>
    </w:p>
    <w:p w:rsidR="004A6A8C" w:rsidRPr="00112B8F" w:rsidRDefault="00D174B0" w:rsidP="00112B8F">
      <w:pPr>
        <w:pStyle w:val="ArtNo"/>
      </w:pPr>
      <w:r w:rsidRPr="00112B8F">
        <w:lastRenderedPageBreak/>
        <w:t xml:space="preserve">ARTICLE </w:t>
      </w:r>
      <w:r w:rsidRPr="00112B8F">
        <w:rPr>
          <w:rStyle w:val="href"/>
          <w:color w:val="000000"/>
        </w:rPr>
        <w:t>5</w:t>
      </w:r>
    </w:p>
    <w:p w:rsidR="004A6A8C" w:rsidRPr="00112B8F" w:rsidRDefault="00D174B0" w:rsidP="00112B8F">
      <w:pPr>
        <w:pStyle w:val="Arttitle"/>
        <w:rPr>
          <w:lang w:val="fr-CH"/>
        </w:rPr>
      </w:pPr>
      <w:r w:rsidRPr="00112B8F">
        <w:rPr>
          <w:lang w:val="fr-CH"/>
        </w:rPr>
        <w:t>Attribution des bandes de fréquences</w:t>
      </w:r>
    </w:p>
    <w:p w:rsidR="004A6A8C" w:rsidRPr="00375EEA" w:rsidRDefault="00D174B0" w:rsidP="00D44B53">
      <w:pPr>
        <w:pStyle w:val="Section1"/>
        <w:keepNext/>
      </w:pPr>
      <w:r w:rsidRPr="00112B8F">
        <w:t>Section IV – Tableau d'attribution des bandes de fréquences</w:t>
      </w:r>
      <w:r w:rsidRPr="00112B8F">
        <w:br/>
      </w:r>
      <w:r w:rsidRPr="00112B8F">
        <w:rPr>
          <w:b w:val="0"/>
          <w:bCs/>
        </w:rPr>
        <w:t>(Voir le numéro</w:t>
      </w:r>
      <w:r w:rsidRPr="00112B8F">
        <w:t xml:space="preserve"> 2.1</w:t>
      </w:r>
      <w:r w:rsidRPr="00112B8F">
        <w:rPr>
          <w:b w:val="0"/>
          <w:bCs/>
        </w:rPr>
        <w:t>)</w:t>
      </w:r>
    </w:p>
    <w:p w:rsidR="002E0EC5" w:rsidRDefault="00D174B0" w:rsidP="00112B8F">
      <w:pPr>
        <w:pStyle w:val="Proposal"/>
      </w:pPr>
      <w:r>
        <w:rPr>
          <w:u w:val="single"/>
        </w:rPr>
        <w:t>NOC</w:t>
      </w:r>
      <w:r>
        <w:tab/>
        <w:t>THA/34A4/1</w:t>
      </w:r>
    </w:p>
    <w:p w:rsidR="004A6A8C" w:rsidRPr="00112B8F" w:rsidRDefault="00D174B0" w:rsidP="00112B8F">
      <w:pPr>
        <w:pStyle w:val="Tabletitle"/>
      </w:pPr>
      <w:r w:rsidRPr="00112B8F">
        <w:t>5 003-7 450 kHz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21"/>
        <w:gridCol w:w="3118"/>
        <w:gridCol w:w="3119"/>
      </w:tblGrid>
      <w:tr w:rsidR="004A6A8C" w:rsidRPr="00112B8F" w:rsidTr="00A63DBE">
        <w:trPr>
          <w:cantSplit/>
          <w:jc w:val="center"/>
        </w:trPr>
        <w:tc>
          <w:tcPr>
            <w:tcW w:w="9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112B8F" w:rsidRDefault="00D174B0" w:rsidP="00112B8F">
            <w:pPr>
              <w:pStyle w:val="Tablehead"/>
              <w:rPr>
                <w:color w:val="000000"/>
                <w:sz w:val="18"/>
                <w:szCs w:val="18"/>
              </w:rPr>
            </w:pPr>
            <w:r w:rsidRPr="00112B8F">
              <w:rPr>
                <w:color w:val="000000"/>
                <w:sz w:val="18"/>
                <w:szCs w:val="18"/>
              </w:rPr>
              <w:t>Attribution aux services</w:t>
            </w:r>
          </w:p>
        </w:tc>
      </w:tr>
      <w:tr w:rsidR="004A6A8C" w:rsidRPr="00112B8F" w:rsidTr="00A63DBE">
        <w:trPr>
          <w:cantSplit/>
          <w:jc w:val="center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112B8F" w:rsidRDefault="00D174B0" w:rsidP="00112B8F">
            <w:pPr>
              <w:pStyle w:val="Tablehead"/>
              <w:rPr>
                <w:color w:val="000000"/>
                <w:sz w:val="18"/>
                <w:szCs w:val="18"/>
              </w:rPr>
            </w:pPr>
            <w:r w:rsidRPr="00112B8F">
              <w:rPr>
                <w:color w:val="000000"/>
                <w:sz w:val="18"/>
                <w:szCs w:val="18"/>
              </w:rPr>
              <w:t>Région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112B8F" w:rsidRDefault="00D174B0" w:rsidP="00112B8F">
            <w:pPr>
              <w:pStyle w:val="Tablehead"/>
              <w:rPr>
                <w:color w:val="000000"/>
                <w:sz w:val="18"/>
                <w:szCs w:val="18"/>
              </w:rPr>
            </w:pPr>
            <w:r w:rsidRPr="00112B8F">
              <w:rPr>
                <w:color w:val="000000"/>
                <w:sz w:val="18"/>
                <w:szCs w:val="18"/>
              </w:rPr>
              <w:t>Région 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112B8F" w:rsidRDefault="00D174B0" w:rsidP="00112B8F">
            <w:pPr>
              <w:pStyle w:val="Tablehead"/>
              <w:rPr>
                <w:color w:val="000000"/>
                <w:sz w:val="18"/>
                <w:szCs w:val="18"/>
              </w:rPr>
            </w:pPr>
            <w:r w:rsidRPr="00112B8F">
              <w:rPr>
                <w:color w:val="000000"/>
                <w:sz w:val="18"/>
                <w:szCs w:val="18"/>
              </w:rPr>
              <w:t>Région 3</w:t>
            </w:r>
          </w:p>
        </w:tc>
      </w:tr>
      <w:tr w:rsidR="004A6A8C" w:rsidRPr="00112B8F" w:rsidTr="00A63DBE">
        <w:trPr>
          <w:cantSplit/>
          <w:jc w:val="center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112B8F" w:rsidRDefault="00D174B0" w:rsidP="00112B8F">
            <w:pPr>
              <w:pStyle w:val="TableTextS5"/>
              <w:rPr>
                <w:rStyle w:val="Tablefreq"/>
                <w:szCs w:val="18"/>
              </w:rPr>
            </w:pPr>
            <w:r w:rsidRPr="00112B8F">
              <w:rPr>
                <w:rStyle w:val="Tablefreq"/>
                <w:szCs w:val="18"/>
              </w:rPr>
              <w:t>5 250-5 275</w:t>
            </w:r>
          </w:p>
          <w:p w:rsidR="004A6A8C" w:rsidRPr="00112B8F" w:rsidRDefault="00D174B0" w:rsidP="00112B8F">
            <w:pPr>
              <w:pStyle w:val="TableTextS5"/>
              <w:spacing w:before="20" w:after="20"/>
              <w:rPr>
                <w:color w:val="000000"/>
                <w:sz w:val="18"/>
                <w:szCs w:val="18"/>
              </w:rPr>
            </w:pPr>
            <w:r w:rsidRPr="00112B8F">
              <w:rPr>
                <w:color w:val="000000"/>
                <w:sz w:val="18"/>
                <w:szCs w:val="18"/>
              </w:rPr>
              <w:t>FIXE</w:t>
            </w:r>
          </w:p>
          <w:p w:rsidR="004A6A8C" w:rsidRPr="00112B8F" w:rsidRDefault="00D174B0" w:rsidP="00112B8F">
            <w:pPr>
              <w:pStyle w:val="Tabletext"/>
              <w:spacing w:before="20" w:after="20"/>
              <w:ind w:left="284" w:hanging="284"/>
              <w:rPr>
                <w:color w:val="000000"/>
                <w:sz w:val="18"/>
                <w:szCs w:val="18"/>
                <w:lang w:val="fr-CH"/>
              </w:rPr>
            </w:pPr>
            <w:r w:rsidRPr="00112B8F">
              <w:rPr>
                <w:color w:val="000000"/>
                <w:sz w:val="18"/>
                <w:szCs w:val="18"/>
                <w:lang w:val="fr-CH"/>
              </w:rPr>
              <w:t xml:space="preserve">MOBILE sauf mobile </w:t>
            </w:r>
            <w:r w:rsidRPr="00112B8F">
              <w:rPr>
                <w:color w:val="000000"/>
                <w:sz w:val="18"/>
                <w:szCs w:val="18"/>
                <w:lang w:val="fr-CH"/>
              </w:rPr>
              <w:br/>
              <w:t>aéronautique</w:t>
            </w:r>
          </w:p>
          <w:p w:rsidR="004A6A8C" w:rsidRPr="00112B8F" w:rsidRDefault="00D174B0" w:rsidP="00112B8F">
            <w:pPr>
              <w:pStyle w:val="TableTextS5"/>
              <w:spacing w:before="20" w:after="20"/>
              <w:rPr>
                <w:color w:val="000000"/>
                <w:sz w:val="18"/>
                <w:szCs w:val="18"/>
              </w:rPr>
            </w:pPr>
            <w:r w:rsidRPr="00112B8F">
              <w:rPr>
                <w:color w:val="000000"/>
                <w:sz w:val="18"/>
                <w:szCs w:val="18"/>
                <w:lang w:val="fr-CH"/>
              </w:rPr>
              <w:t xml:space="preserve">Radiolocalisation 5.132A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112B8F" w:rsidRDefault="00D174B0" w:rsidP="00112B8F">
            <w:pPr>
              <w:pStyle w:val="TableTextS5"/>
              <w:keepNext/>
              <w:keepLines/>
              <w:rPr>
                <w:rStyle w:val="Tablefreq"/>
                <w:szCs w:val="18"/>
              </w:rPr>
            </w:pPr>
            <w:r w:rsidRPr="00112B8F">
              <w:rPr>
                <w:rStyle w:val="Tablefreq"/>
                <w:szCs w:val="18"/>
              </w:rPr>
              <w:t>5 250-5 275</w:t>
            </w:r>
          </w:p>
          <w:p w:rsidR="004A6A8C" w:rsidRPr="00112B8F" w:rsidRDefault="00D174B0" w:rsidP="00112B8F">
            <w:pPr>
              <w:pStyle w:val="TableTextS5"/>
              <w:spacing w:before="20" w:after="20"/>
              <w:rPr>
                <w:color w:val="000000"/>
                <w:sz w:val="18"/>
                <w:szCs w:val="18"/>
              </w:rPr>
            </w:pPr>
            <w:r w:rsidRPr="00112B8F">
              <w:rPr>
                <w:color w:val="000000"/>
                <w:sz w:val="18"/>
                <w:szCs w:val="18"/>
              </w:rPr>
              <w:t>FIXE</w:t>
            </w:r>
          </w:p>
          <w:p w:rsidR="004A6A8C" w:rsidRPr="00112B8F" w:rsidRDefault="00D174B0" w:rsidP="00112B8F">
            <w:pPr>
              <w:pStyle w:val="Tabletext"/>
              <w:spacing w:before="20" w:after="20"/>
              <w:ind w:left="284" w:hanging="284"/>
              <w:rPr>
                <w:color w:val="000000"/>
                <w:sz w:val="18"/>
                <w:szCs w:val="18"/>
                <w:lang w:val="fr-CH"/>
              </w:rPr>
            </w:pPr>
            <w:r w:rsidRPr="00112B8F">
              <w:rPr>
                <w:color w:val="000000"/>
                <w:sz w:val="18"/>
                <w:szCs w:val="18"/>
                <w:lang w:val="fr-CH"/>
              </w:rPr>
              <w:t xml:space="preserve">MOBILE sauf mobile </w:t>
            </w:r>
            <w:r w:rsidRPr="00112B8F">
              <w:rPr>
                <w:color w:val="000000"/>
                <w:sz w:val="18"/>
                <w:szCs w:val="18"/>
                <w:lang w:val="fr-CH"/>
              </w:rPr>
              <w:br/>
              <w:t>aéronautique</w:t>
            </w:r>
          </w:p>
          <w:p w:rsidR="004A6A8C" w:rsidRPr="00112B8F" w:rsidRDefault="00D174B0" w:rsidP="00112B8F">
            <w:pPr>
              <w:pStyle w:val="TableTextS5"/>
              <w:spacing w:before="20" w:after="20"/>
              <w:rPr>
                <w:color w:val="000000"/>
                <w:sz w:val="18"/>
                <w:szCs w:val="18"/>
              </w:rPr>
            </w:pPr>
            <w:r w:rsidRPr="00112B8F">
              <w:rPr>
                <w:color w:val="000000"/>
                <w:sz w:val="18"/>
                <w:szCs w:val="18"/>
                <w:lang w:val="fr-CH"/>
              </w:rPr>
              <w:t>RADIOLOCALISATION 5.132A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112B8F" w:rsidRDefault="00D174B0" w:rsidP="00112B8F">
            <w:pPr>
              <w:pStyle w:val="TableTextS5"/>
              <w:keepNext/>
              <w:keepLines/>
              <w:rPr>
                <w:rStyle w:val="Tablefreq"/>
                <w:szCs w:val="18"/>
              </w:rPr>
            </w:pPr>
            <w:r w:rsidRPr="00112B8F">
              <w:rPr>
                <w:rStyle w:val="Tablefreq"/>
                <w:szCs w:val="18"/>
              </w:rPr>
              <w:t>5 250-5 275</w:t>
            </w:r>
          </w:p>
          <w:p w:rsidR="004A6A8C" w:rsidRPr="00112B8F" w:rsidRDefault="00D174B0" w:rsidP="00112B8F">
            <w:pPr>
              <w:pStyle w:val="TableTextS5"/>
              <w:spacing w:before="20" w:after="20"/>
              <w:rPr>
                <w:color w:val="000000"/>
                <w:sz w:val="18"/>
                <w:szCs w:val="18"/>
              </w:rPr>
            </w:pPr>
            <w:r w:rsidRPr="00112B8F">
              <w:rPr>
                <w:color w:val="000000"/>
                <w:sz w:val="18"/>
                <w:szCs w:val="18"/>
              </w:rPr>
              <w:t>FIXE</w:t>
            </w:r>
          </w:p>
          <w:p w:rsidR="004A6A8C" w:rsidRPr="00112B8F" w:rsidRDefault="00D174B0" w:rsidP="00112B8F">
            <w:pPr>
              <w:pStyle w:val="Tabletext"/>
              <w:spacing w:before="20" w:after="20"/>
              <w:ind w:left="284" w:hanging="284"/>
              <w:rPr>
                <w:color w:val="000000"/>
                <w:sz w:val="18"/>
                <w:szCs w:val="18"/>
                <w:lang w:val="fr-CH"/>
              </w:rPr>
            </w:pPr>
            <w:r w:rsidRPr="00112B8F">
              <w:rPr>
                <w:color w:val="000000"/>
                <w:sz w:val="18"/>
                <w:szCs w:val="18"/>
                <w:lang w:val="fr-CH"/>
              </w:rPr>
              <w:t xml:space="preserve">MOBILE sauf mobile </w:t>
            </w:r>
            <w:r w:rsidRPr="00112B8F">
              <w:rPr>
                <w:color w:val="000000"/>
                <w:sz w:val="18"/>
                <w:szCs w:val="18"/>
                <w:lang w:val="fr-CH"/>
              </w:rPr>
              <w:br/>
              <w:t>aéronautique</w:t>
            </w:r>
          </w:p>
          <w:p w:rsidR="004A6A8C" w:rsidRPr="00112B8F" w:rsidRDefault="00D174B0" w:rsidP="00112B8F">
            <w:pPr>
              <w:pStyle w:val="TableTextS5"/>
              <w:spacing w:before="20" w:after="20"/>
              <w:rPr>
                <w:color w:val="000000"/>
                <w:sz w:val="18"/>
                <w:szCs w:val="18"/>
              </w:rPr>
            </w:pPr>
            <w:r w:rsidRPr="00112B8F">
              <w:rPr>
                <w:color w:val="000000"/>
                <w:sz w:val="18"/>
                <w:szCs w:val="18"/>
                <w:lang w:val="fr-CH"/>
              </w:rPr>
              <w:t>Radiolocalisation 5.132A</w:t>
            </w:r>
          </w:p>
        </w:tc>
      </w:tr>
      <w:tr w:rsidR="004A6A8C" w:rsidRPr="00112B8F" w:rsidTr="00A63DBE">
        <w:trPr>
          <w:cantSplit/>
          <w:jc w:val="center"/>
        </w:trPr>
        <w:tc>
          <w:tcPr>
            <w:tcW w:w="312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A8C" w:rsidRPr="003D6CAD" w:rsidRDefault="00D174B0" w:rsidP="00112B8F">
            <w:pPr>
              <w:pStyle w:val="TableTextS5"/>
              <w:rPr>
                <w:rStyle w:val="Tablefreq"/>
                <w:szCs w:val="18"/>
              </w:rPr>
            </w:pPr>
            <w:r w:rsidRPr="003D6CAD">
              <w:rPr>
                <w:color w:val="000000"/>
                <w:sz w:val="18"/>
                <w:szCs w:val="18"/>
                <w:lang w:val="fr-CH"/>
              </w:rPr>
              <w:t>5.133A</w:t>
            </w:r>
          </w:p>
        </w:tc>
        <w:tc>
          <w:tcPr>
            <w:tcW w:w="31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A8C" w:rsidRPr="00112B8F" w:rsidRDefault="00BF69C6" w:rsidP="00112B8F">
            <w:pPr>
              <w:pStyle w:val="TableTextS5"/>
              <w:keepNext/>
              <w:keepLines/>
              <w:rPr>
                <w:rStyle w:val="Tablefreq"/>
                <w:szCs w:val="18"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A8C" w:rsidRPr="00112B8F" w:rsidRDefault="00BF69C6" w:rsidP="00112B8F">
            <w:pPr>
              <w:pStyle w:val="TableTextS5"/>
              <w:keepNext/>
              <w:keepLines/>
              <w:rPr>
                <w:rStyle w:val="Tablefreq"/>
                <w:szCs w:val="18"/>
              </w:rPr>
            </w:pPr>
          </w:p>
        </w:tc>
      </w:tr>
      <w:tr w:rsidR="004A6A8C" w:rsidTr="00A63DBE">
        <w:trPr>
          <w:cantSplit/>
          <w:jc w:val="center"/>
        </w:trPr>
        <w:tc>
          <w:tcPr>
            <w:tcW w:w="935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112B8F" w:rsidRDefault="00D174B0" w:rsidP="00112B8F">
            <w:pPr>
              <w:pStyle w:val="TableTextS5"/>
              <w:rPr>
                <w:color w:val="000000"/>
                <w:sz w:val="18"/>
                <w:szCs w:val="18"/>
              </w:rPr>
            </w:pPr>
            <w:r w:rsidRPr="00112B8F">
              <w:rPr>
                <w:rStyle w:val="Tablefreq"/>
                <w:szCs w:val="18"/>
              </w:rPr>
              <w:t>5 275-5 450</w:t>
            </w:r>
            <w:r w:rsidRPr="00112B8F">
              <w:rPr>
                <w:color w:val="000000"/>
                <w:sz w:val="18"/>
                <w:szCs w:val="18"/>
              </w:rPr>
              <w:tab/>
              <w:t>FIXE</w:t>
            </w:r>
          </w:p>
          <w:p w:rsidR="004A6A8C" w:rsidRPr="002C0191" w:rsidRDefault="00D174B0" w:rsidP="00112B8F">
            <w:pPr>
              <w:pStyle w:val="TableTextS5"/>
              <w:spacing w:before="20" w:after="20"/>
              <w:rPr>
                <w:b/>
                <w:color w:val="000000"/>
                <w:sz w:val="18"/>
                <w:szCs w:val="18"/>
              </w:rPr>
            </w:pPr>
            <w:r w:rsidRPr="00112B8F">
              <w:rPr>
                <w:color w:val="000000"/>
                <w:sz w:val="18"/>
                <w:szCs w:val="18"/>
              </w:rPr>
              <w:tab/>
            </w:r>
            <w:r w:rsidRPr="00112B8F">
              <w:rPr>
                <w:color w:val="000000"/>
                <w:sz w:val="18"/>
                <w:szCs w:val="18"/>
              </w:rPr>
              <w:tab/>
            </w:r>
            <w:r w:rsidRPr="00112B8F">
              <w:rPr>
                <w:color w:val="000000"/>
                <w:sz w:val="18"/>
                <w:szCs w:val="18"/>
              </w:rPr>
              <w:tab/>
            </w:r>
            <w:r w:rsidRPr="00112B8F">
              <w:rPr>
                <w:color w:val="000000"/>
                <w:sz w:val="18"/>
                <w:szCs w:val="18"/>
              </w:rPr>
              <w:tab/>
              <w:t>MOBILE sauf mobile aéronautique</w:t>
            </w:r>
          </w:p>
        </w:tc>
      </w:tr>
    </w:tbl>
    <w:p w:rsidR="002E0EC5" w:rsidRPr="001F41A1" w:rsidRDefault="00D174B0" w:rsidP="00112B8F">
      <w:pPr>
        <w:pStyle w:val="Reasons"/>
        <w:rPr>
          <w:lang w:val="fr-CH"/>
        </w:rPr>
      </w:pPr>
      <w:r w:rsidRPr="001F41A1">
        <w:rPr>
          <w:b/>
          <w:lang w:val="fr-CH"/>
        </w:rPr>
        <w:t>Motifs:</w:t>
      </w:r>
      <w:r w:rsidRPr="001F41A1">
        <w:rPr>
          <w:lang w:val="fr-CH"/>
        </w:rPr>
        <w:tab/>
      </w:r>
      <w:r w:rsidR="009C5B40" w:rsidRPr="001F41A1">
        <w:rPr>
          <w:szCs w:val="24"/>
          <w:lang w:val="fr-CH"/>
        </w:rPr>
        <w:t xml:space="preserve">La bande de fréquences </w:t>
      </w:r>
      <w:r w:rsidRPr="001F41A1">
        <w:rPr>
          <w:szCs w:val="24"/>
          <w:lang w:val="fr-CH"/>
        </w:rPr>
        <w:t xml:space="preserve">5 250-5 450 kHz </w:t>
      </w:r>
      <w:r w:rsidR="009C5B40" w:rsidRPr="001F41A1">
        <w:rPr>
          <w:szCs w:val="24"/>
          <w:lang w:val="fr-CH"/>
        </w:rPr>
        <w:t>est actuellement utilisée par les services fixe</w:t>
      </w:r>
      <w:r w:rsidRPr="001F41A1">
        <w:rPr>
          <w:szCs w:val="24"/>
          <w:lang w:val="fr-CH"/>
        </w:rPr>
        <w:t xml:space="preserve"> </w:t>
      </w:r>
      <w:r w:rsidR="009C5B40" w:rsidRPr="001F41A1">
        <w:rPr>
          <w:szCs w:val="24"/>
          <w:lang w:val="fr-CH"/>
        </w:rPr>
        <w:t xml:space="preserve">et </w:t>
      </w:r>
      <w:r w:rsidRPr="001F41A1">
        <w:rPr>
          <w:szCs w:val="24"/>
          <w:lang w:val="fr-CH"/>
        </w:rPr>
        <w:t xml:space="preserve">mobile </w:t>
      </w:r>
      <w:r w:rsidR="001E45F0">
        <w:rPr>
          <w:szCs w:val="24"/>
          <w:lang w:val="fr-CH"/>
        </w:rPr>
        <w:t>à titre</w:t>
      </w:r>
      <w:r w:rsidRPr="001F41A1">
        <w:rPr>
          <w:szCs w:val="24"/>
          <w:lang w:val="fr-CH"/>
        </w:rPr>
        <w:t xml:space="preserve"> </w:t>
      </w:r>
      <w:r w:rsidR="001E45F0">
        <w:rPr>
          <w:szCs w:val="24"/>
          <w:lang w:val="fr-CH"/>
        </w:rPr>
        <w:t>primaire</w:t>
      </w:r>
      <w:r w:rsidR="009C5B40" w:rsidRPr="001F41A1">
        <w:rPr>
          <w:szCs w:val="24"/>
          <w:lang w:val="fr-CH"/>
        </w:rPr>
        <w:t xml:space="preserve"> en </w:t>
      </w:r>
      <w:r w:rsidRPr="001F41A1">
        <w:rPr>
          <w:szCs w:val="24"/>
          <w:lang w:val="fr-CH"/>
        </w:rPr>
        <w:t>Tha</w:t>
      </w:r>
      <w:r w:rsidR="009C5B40" w:rsidRPr="001F41A1">
        <w:rPr>
          <w:szCs w:val="24"/>
          <w:lang w:val="fr-CH"/>
        </w:rPr>
        <w:t>ï</w:t>
      </w:r>
      <w:r w:rsidRPr="001F41A1">
        <w:rPr>
          <w:szCs w:val="24"/>
          <w:lang w:val="fr-CH"/>
        </w:rPr>
        <w:t>land</w:t>
      </w:r>
      <w:r w:rsidR="009C5B40" w:rsidRPr="001F41A1">
        <w:rPr>
          <w:szCs w:val="24"/>
          <w:lang w:val="fr-CH"/>
        </w:rPr>
        <w:t>e</w:t>
      </w:r>
      <w:r w:rsidRPr="001F41A1">
        <w:rPr>
          <w:szCs w:val="24"/>
          <w:lang w:val="fr-CH"/>
        </w:rPr>
        <w:t xml:space="preserve"> </w:t>
      </w:r>
      <w:r w:rsidR="009C5B40" w:rsidRPr="001F41A1">
        <w:rPr>
          <w:szCs w:val="24"/>
          <w:lang w:val="fr-CH"/>
        </w:rPr>
        <w:t>et les études de partage menées par l'UIT</w:t>
      </w:r>
      <w:r w:rsidR="009C5B40" w:rsidRPr="001F41A1">
        <w:rPr>
          <w:szCs w:val="24"/>
          <w:lang w:val="fr-CH"/>
        </w:rPr>
        <w:noBreakHyphen/>
        <w:t>R ont indiqué que les stations</w:t>
      </w:r>
      <w:r w:rsidR="00112B8F">
        <w:rPr>
          <w:szCs w:val="24"/>
          <w:lang w:val="fr-CH"/>
        </w:rPr>
        <w:t xml:space="preserve"> du service</w:t>
      </w:r>
      <w:r w:rsidR="009C5B40" w:rsidRPr="001F41A1">
        <w:rPr>
          <w:szCs w:val="24"/>
          <w:lang w:val="fr-CH"/>
        </w:rPr>
        <w:t xml:space="preserve"> d'</w:t>
      </w:r>
      <w:r w:rsidRPr="001F41A1">
        <w:rPr>
          <w:szCs w:val="24"/>
          <w:lang w:val="fr-CH"/>
        </w:rPr>
        <w:t xml:space="preserve">amateur </w:t>
      </w:r>
      <w:r w:rsidR="004C718A">
        <w:rPr>
          <w:szCs w:val="24"/>
          <w:lang w:val="fr-CH"/>
        </w:rPr>
        <w:t>pourrai</w:t>
      </w:r>
      <w:r w:rsidR="009C5B40" w:rsidRPr="001F41A1">
        <w:rPr>
          <w:szCs w:val="24"/>
          <w:lang w:val="fr-CH"/>
        </w:rPr>
        <w:t>ent causer des brouillages aux services fixe</w:t>
      </w:r>
      <w:r w:rsidRPr="001F41A1">
        <w:rPr>
          <w:szCs w:val="24"/>
          <w:lang w:val="fr-CH"/>
        </w:rPr>
        <w:t xml:space="preserve"> </w:t>
      </w:r>
      <w:r w:rsidR="00112B8F">
        <w:rPr>
          <w:szCs w:val="24"/>
          <w:lang w:val="fr-CH"/>
        </w:rPr>
        <w:t>ou</w:t>
      </w:r>
      <w:r w:rsidR="009C5B40" w:rsidRPr="001F41A1">
        <w:rPr>
          <w:szCs w:val="24"/>
          <w:lang w:val="fr-CH"/>
        </w:rPr>
        <w:t xml:space="preserve"> </w:t>
      </w:r>
      <w:r w:rsidRPr="001F41A1">
        <w:rPr>
          <w:szCs w:val="24"/>
          <w:lang w:val="fr-CH"/>
        </w:rPr>
        <w:t>mobile.</w:t>
      </w:r>
    </w:p>
    <w:p w:rsidR="002E0EC5" w:rsidRDefault="00D174B0" w:rsidP="00112B8F">
      <w:pPr>
        <w:pStyle w:val="Proposal"/>
      </w:pPr>
      <w:r>
        <w:t>SUP</w:t>
      </w:r>
      <w:r>
        <w:tab/>
        <w:t>THA/34A4/2</w:t>
      </w:r>
    </w:p>
    <w:p w:rsidR="00DD4258" w:rsidRPr="00112B8F" w:rsidRDefault="00D174B0" w:rsidP="003D6CAD">
      <w:pPr>
        <w:pStyle w:val="ResNo"/>
      </w:pPr>
      <w:r w:rsidRPr="00112B8F">
        <w:t xml:space="preserve">RÉSOLUTION </w:t>
      </w:r>
      <w:r w:rsidRPr="00112B8F">
        <w:rPr>
          <w:rFonts w:eastAsia="Arial Unicode MS"/>
        </w:rPr>
        <w:t>649 (CMR</w:t>
      </w:r>
      <w:r w:rsidR="003D6CAD">
        <w:rPr>
          <w:rFonts w:eastAsia="Arial Unicode MS"/>
        </w:rPr>
        <w:noBreakHyphen/>
      </w:r>
      <w:r w:rsidRPr="00112B8F">
        <w:rPr>
          <w:rFonts w:eastAsia="Arial Unicode MS"/>
        </w:rPr>
        <w:t>12)</w:t>
      </w:r>
    </w:p>
    <w:p w:rsidR="00DD4258" w:rsidRPr="009C7CEE" w:rsidRDefault="00D174B0" w:rsidP="00112B8F">
      <w:pPr>
        <w:pStyle w:val="Restitle"/>
      </w:pPr>
      <w:r w:rsidRPr="00112B8F">
        <w:t xml:space="preserve">Attribution possible à titre secondaire au service </w:t>
      </w:r>
      <w:r w:rsidRPr="00112B8F">
        <w:br/>
        <w:t>d'amateur au voisinage de 5 300 kHz</w:t>
      </w:r>
    </w:p>
    <w:p w:rsidR="002E0EC5" w:rsidRDefault="00D174B0" w:rsidP="00E96B21">
      <w:pPr>
        <w:pStyle w:val="Reasons"/>
        <w:rPr>
          <w:lang w:val="fr-CH"/>
        </w:rPr>
      </w:pPr>
      <w:r w:rsidRPr="001F41A1">
        <w:rPr>
          <w:b/>
          <w:lang w:val="fr-CH"/>
        </w:rPr>
        <w:t>Motifs:</w:t>
      </w:r>
      <w:r w:rsidRPr="001F41A1">
        <w:rPr>
          <w:lang w:val="fr-CH"/>
        </w:rPr>
        <w:tab/>
      </w:r>
      <w:r w:rsidR="009C5B40" w:rsidRPr="001F41A1">
        <w:rPr>
          <w:lang w:val="fr-CH"/>
        </w:rPr>
        <w:t>Cette Ré</w:t>
      </w:r>
      <w:r w:rsidRPr="001F41A1">
        <w:rPr>
          <w:lang w:val="fr-CH"/>
        </w:rPr>
        <w:t xml:space="preserve">solution </w:t>
      </w:r>
      <w:r w:rsidR="009C5B40" w:rsidRPr="001F41A1">
        <w:rPr>
          <w:lang w:val="fr-CH"/>
        </w:rPr>
        <w:t>n'a plus lieu d'être</w:t>
      </w:r>
      <w:r w:rsidRPr="001F41A1">
        <w:rPr>
          <w:lang w:val="fr-CH"/>
        </w:rPr>
        <w:t>.</w:t>
      </w:r>
    </w:p>
    <w:p w:rsidR="00E96B21" w:rsidRDefault="00E96B21" w:rsidP="0032202E">
      <w:pPr>
        <w:pStyle w:val="Reasons"/>
      </w:pPr>
    </w:p>
    <w:p w:rsidR="00E96B21" w:rsidRDefault="00E96B21">
      <w:pPr>
        <w:jc w:val="center"/>
      </w:pPr>
      <w:r>
        <w:t>______________</w:t>
      </w:r>
    </w:p>
    <w:p w:rsidR="00E96B21" w:rsidRPr="00E96B21" w:rsidRDefault="00E96B21" w:rsidP="00E96B21">
      <w:pPr>
        <w:pStyle w:val="Reasons"/>
        <w:rPr>
          <w:lang w:val="fr-CH"/>
        </w:rPr>
      </w:pPr>
    </w:p>
    <w:sectPr w:rsidR="00E96B21" w:rsidRPr="00E96B21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1E2" w:rsidRDefault="005641E2">
      <w:r>
        <w:separator/>
      </w:r>
    </w:p>
  </w:endnote>
  <w:endnote w:type="continuationSeparator" w:id="0">
    <w:p w:rsidR="005641E2" w:rsidRDefault="0056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F69C6">
      <w:rPr>
        <w:noProof/>
        <w:lang w:val="en-US"/>
      </w:rPr>
      <w:t>P:\FRA\ITU-R\CONF-R\CMR15\000\034ADD04REV1F.docx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F69C6">
      <w:rPr>
        <w:noProof/>
      </w:rPr>
      <w:t>22.10.15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F69C6">
      <w:rPr>
        <w:noProof/>
      </w:rPr>
      <w:t>22.10.15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F33AC3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F69C6">
      <w:rPr>
        <w:lang w:val="en-US"/>
      </w:rPr>
      <w:t>P:\FRA\ITU-R\CONF-R\CMR15\000\034ADD04REV1F.docx</w:t>
    </w:r>
    <w:r>
      <w:fldChar w:fldCharType="end"/>
    </w:r>
    <w:r w:rsidR="00D174B0">
      <w:t xml:space="preserve"> (38</w:t>
    </w:r>
    <w:r w:rsidR="00F33AC3">
      <w:t>8420</w:t>
    </w:r>
    <w:r w:rsidR="00D174B0">
      <w:t>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F69C6">
      <w:t>22.10.15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F69C6">
      <w:t>22.10.15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F33AC3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F69C6">
      <w:rPr>
        <w:lang w:val="en-US"/>
      </w:rPr>
      <w:t>P:\FRA\ITU-R\CONF-R\CMR15\000\034ADD04REV1F.docx</w:t>
    </w:r>
    <w:r>
      <w:fldChar w:fldCharType="end"/>
    </w:r>
    <w:r w:rsidR="00F33AC3">
      <w:t xml:space="preserve"> (388420</w:t>
    </w:r>
    <w:r w:rsidR="00D174B0">
      <w:t>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F69C6">
      <w:t>22.10.15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F69C6">
      <w:t>22.10.15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1E2" w:rsidRDefault="005641E2">
      <w:r>
        <w:rPr>
          <w:b/>
        </w:rPr>
        <w:t>_______________</w:t>
      </w:r>
    </w:p>
  </w:footnote>
  <w:footnote w:type="continuationSeparator" w:id="0">
    <w:p w:rsidR="005641E2" w:rsidRDefault="00564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F69C6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34(Add.4)</w:t>
    </w:r>
    <w:r w:rsidR="00F33AC3">
      <w:t>(Rév.1)</w:t>
    </w:r>
    <w:r w:rsidR="006A4B45">
      <w:t>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513E3"/>
    <w:rsid w:val="00080E2C"/>
    <w:rsid w:val="000949C3"/>
    <w:rsid w:val="000A4755"/>
    <w:rsid w:val="000B2E0C"/>
    <w:rsid w:val="000B3D0C"/>
    <w:rsid w:val="00112B8F"/>
    <w:rsid w:val="001167B9"/>
    <w:rsid w:val="001267A0"/>
    <w:rsid w:val="0015203F"/>
    <w:rsid w:val="00160C64"/>
    <w:rsid w:val="00163A01"/>
    <w:rsid w:val="0018169B"/>
    <w:rsid w:val="0019352B"/>
    <w:rsid w:val="001960D0"/>
    <w:rsid w:val="001E45F0"/>
    <w:rsid w:val="001F17E8"/>
    <w:rsid w:val="001F41A1"/>
    <w:rsid w:val="00204306"/>
    <w:rsid w:val="00232FD2"/>
    <w:rsid w:val="0026554E"/>
    <w:rsid w:val="00293642"/>
    <w:rsid w:val="002A4622"/>
    <w:rsid w:val="002A6F8F"/>
    <w:rsid w:val="002B17E5"/>
    <w:rsid w:val="002C0EBF"/>
    <w:rsid w:val="002C28A4"/>
    <w:rsid w:val="002E0EC5"/>
    <w:rsid w:val="00315AFE"/>
    <w:rsid w:val="003606A6"/>
    <w:rsid w:val="0036650C"/>
    <w:rsid w:val="00393ACD"/>
    <w:rsid w:val="003A583E"/>
    <w:rsid w:val="003D6CAD"/>
    <w:rsid w:val="003E112B"/>
    <w:rsid w:val="003E1D1C"/>
    <w:rsid w:val="003E7B05"/>
    <w:rsid w:val="00414D2F"/>
    <w:rsid w:val="00466211"/>
    <w:rsid w:val="004834A9"/>
    <w:rsid w:val="004C718A"/>
    <w:rsid w:val="004D01FC"/>
    <w:rsid w:val="004E28C3"/>
    <w:rsid w:val="004F1F8E"/>
    <w:rsid w:val="00512A32"/>
    <w:rsid w:val="005641E2"/>
    <w:rsid w:val="00586CF2"/>
    <w:rsid w:val="005C3768"/>
    <w:rsid w:val="005C6C3F"/>
    <w:rsid w:val="00613635"/>
    <w:rsid w:val="0062093D"/>
    <w:rsid w:val="006379EF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80C82"/>
    <w:rsid w:val="008A3120"/>
    <w:rsid w:val="008C79EB"/>
    <w:rsid w:val="008D41BE"/>
    <w:rsid w:val="008D58D3"/>
    <w:rsid w:val="008F2C93"/>
    <w:rsid w:val="00923064"/>
    <w:rsid w:val="00930FFD"/>
    <w:rsid w:val="00936D25"/>
    <w:rsid w:val="00941EA5"/>
    <w:rsid w:val="00964700"/>
    <w:rsid w:val="00966C16"/>
    <w:rsid w:val="0098732F"/>
    <w:rsid w:val="009A045F"/>
    <w:rsid w:val="009C5B40"/>
    <w:rsid w:val="009C7E7C"/>
    <w:rsid w:val="00A00473"/>
    <w:rsid w:val="00A03C9B"/>
    <w:rsid w:val="00A37105"/>
    <w:rsid w:val="00A606C3"/>
    <w:rsid w:val="00A63DBE"/>
    <w:rsid w:val="00A83B09"/>
    <w:rsid w:val="00A84541"/>
    <w:rsid w:val="00AE36A0"/>
    <w:rsid w:val="00B00294"/>
    <w:rsid w:val="00B64FD0"/>
    <w:rsid w:val="00BA5BD0"/>
    <w:rsid w:val="00BB1D82"/>
    <w:rsid w:val="00BB4EA1"/>
    <w:rsid w:val="00BF26E7"/>
    <w:rsid w:val="00BF69C6"/>
    <w:rsid w:val="00C53FCA"/>
    <w:rsid w:val="00C76BAF"/>
    <w:rsid w:val="00C814B9"/>
    <w:rsid w:val="00CA00FD"/>
    <w:rsid w:val="00CD516F"/>
    <w:rsid w:val="00CE1A58"/>
    <w:rsid w:val="00D119A7"/>
    <w:rsid w:val="00D174B0"/>
    <w:rsid w:val="00D25FBA"/>
    <w:rsid w:val="00D32B28"/>
    <w:rsid w:val="00D42954"/>
    <w:rsid w:val="00D44B53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47589"/>
    <w:rsid w:val="00E537FF"/>
    <w:rsid w:val="00E6539B"/>
    <w:rsid w:val="00E66795"/>
    <w:rsid w:val="00E70A31"/>
    <w:rsid w:val="00E96B21"/>
    <w:rsid w:val="00EA3F38"/>
    <w:rsid w:val="00EA5AB6"/>
    <w:rsid w:val="00EC7615"/>
    <w:rsid w:val="00ED16AA"/>
    <w:rsid w:val="00EF662E"/>
    <w:rsid w:val="00F148F1"/>
    <w:rsid w:val="00F33AC3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F9829FB8-3F54-4037-B1A4-28788437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R15-WRC15-C-0034!A4!MSW-F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050DB2-6B96-44ED-BE9C-43BA00AEE180}">
  <ds:schemaRefs>
    <ds:schemaRef ds:uri="http://purl.org/dc/elements/1.1/"/>
    <ds:schemaRef ds:uri="996b2e75-67fd-4955-a3b0-5ab9934cb50b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32a1a8c5-2265-4ebc-b7a0-2071e2c5c9bb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410</Words>
  <Characters>2264</Characters>
  <Application>Microsoft Office Word</Application>
  <DocSecurity>0</DocSecurity>
  <Lines>76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R15-WRC15-C-0034!A4!MSW-F</vt:lpstr>
    </vt:vector>
  </TitlesOfParts>
  <Manager>Secrétariat général - Pool</Manager>
  <Company>Union internationale des télécommunications (UIT)</Company>
  <LinksUpToDate>false</LinksUpToDate>
  <CharactersWithSpaces>2640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R15-WRC15-C-0034!A4!MSW-F</dc:title>
  <dc:subject>Conférence mondiale des radiocommunications - 2015</dc:subject>
  <dc:creator>Documents Proposals Manager (DPM)</dc:creator>
  <cp:keywords>DPM_v5.2015.9.16_prod</cp:keywords>
  <dc:description/>
  <cp:lastModifiedBy>Royer, Veronique</cp:lastModifiedBy>
  <cp:revision>9</cp:revision>
  <cp:lastPrinted>2015-10-22T07:07:00Z</cp:lastPrinted>
  <dcterms:created xsi:type="dcterms:W3CDTF">2015-10-21T21:21:00Z</dcterms:created>
  <dcterms:modified xsi:type="dcterms:W3CDTF">2015-10-22T07:07:00Z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