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34(Add.4)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Thailand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Pr="009A2B70" w:rsidRDefault="00DC10F8" w:rsidP="00FC5DFA">
      <w:pPr>
        <w:overflowPunct/>
        <w:autoSpaceDE/>
        <w:autoSpaceDN/>
        <w:adjustRightInd/>
        <w:textAlignment w:val="auto"/>
      </w:pPr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F5668E" w:rsidRPr="00F5668E" w:rsidRDefault="00F5668E" w:rsidP="00F5668E">
      <w:pPr>
        <w:rPr>
          <w:lang w:val="en-US"/>
        </w:rPr>
      </w:pPr>
    </w:p>
    <w:p w:rsidR="00F5668E" w:rsidRPr="00F5668E" w:rsidRDefault="00F5668E" w:rsidP="00F5668E">
      <w:pPr>
        <w:pStyle w:val="Headingb"/>
        <w:rPr>
          <w:lang w:val="en-US"/>
        </w:rPr>
      </w:pPr>
      <w:r w:rsidRPr="00C26D01">
        <w:rPr>
          <w:lang w:val="en-GB"/>
        </w:rPr>
        <w:t>Introduction</w:t>
      </w:r>
    </w:p>
    <w:p w:rsidR="00F5668E" w:rsidRPr="00163E44" w:rsidRDefault="00F5668E" w:rsidP="00F5668E">
      <w:pPr>
        <w:rPr>
          <w:lang w:val="en-AU"/>
        </w:rPr>
      </w:pPr>
      <w:r w:rsidRPr="00163E44">
        <w:rPr>
          <w:lang w:val="en-AU"/>
        </w:rPr>
        <w:t xml:space="preserve">Resolution </w:t>
      </w:r>
      <w:r w:rsidRPr="00F5668E">
        <w:rPr>
          <w:bCs/>
          <w:lang w:val="en-AU"/>
        </w:rPr>
        <w:t>649 (WRC-12)</w:t>
      </w:r>
      <w:r w:rsidRPr="00163E44">
        <w:rPr>
          <w:b/>
          <w:lang w:val="en-AU"/>
        </w:rPr>
        <w:t xml:space="preserve"> </w:t>
      </w:r>
      <w:r w:rsidRPr="00163E44">
        <w:rPr>
          <w:iCs/>
          <w:lang w:val="en-AU"/>
        </w:rPr>
        <w:t>invited WRC-15 to consider</w:t>
      </w:r>
      <w:r w:rsidRPr="00163E44">
        <w:t xml:space="preserve"> possible allocation at around 5</w:t>
      </w:r>
      <w:r>
        <w:t xml:space="preserve"> </w:t>
      </w:r>
      <w:r w:rsidRPr="00163E44">
        <w:t xml:space="preserve">300 kHz to the amateur service on a secondary basis in order to provide reliable communications in the course of facilitating emergency and disasters relief operations. This Resolution also </w:t>
      </w:r>
      <w:r w:rsidRPr="00163E44">
        <w:rPr>
          <w:iCs/>
          <w:lang w:val="en-AU"/>
        </w:rPr>
        <w:t xml:space="preserve">invites ITU-R </w:t>
      </w:r>
      <w:r w:rsidRPr="00163E44">
        <w:rPr>
          <w:lang w:val="en-AU"/>
        </w:rPr>
        <w:t xml:space="preserve">to study the spectrum requirements for a secondary allocation, not necessarily contiguous, within the band 5 250-5 450 kHz and to carry out sharing studies on the impact to other services allocated in </w:t>
      </w:r>
      <w:r>
        <w:rPr>
          <w:lang w:val="en-AU"/>
        </w:rPr>
        <w:t>the band and in adjacent bands.</w:t>
      </w:r>
    </w:p>
    <w:p w:rsidR="00F5668E" w:rsidRPr="006D5510" w:rsidRDefault="00F5668E" w:rsidP="00C26D01">
      <w:r w:rsidRPr="00387992">
        <w:t>S</w:t>
      </w:r>
      <w:r>
        <w:t>ince the frequency band 5 250-</w:t>
      </w:r>
      <w:r w:rsidRPr="00387992">
        <w:t xml:space="preserve">5 450 kHz is currently used by fixed and mobile services </w:t>
      </w:r>
      <w:r>
        <w:t xml:space="preserve">on a </w:t>
      </w:r>
      <w:r w:rsidRPr="00387992">
        <w:t xml:space="preserve">primary </w:t>
      </w:r>
      <w:r>
        <w:t>basis</w:t>
      </w:r>
      <w:r w:rsidRPr="00387992">
        <w:t xml:space="preserve"> in Thailand and ITU-R sharing studies indicated that amateur stations </w:t>
      </w:r>
      <w:r>
        <w:t>could</w:t>
      </w:r>
      <w:r w:rsidRPr="00387992">
        <w:t xml:space="preserve"> cause interference to fixed or mobile services</w:t>
      </w:r>
      <w:r w:rsidR="00C26D01">
        <w:t>,</w:t>
      </w:r>
      <w:r w:rsidRPr="00387992">
        <w:t xml:space="preserve"> </w:t>
      </w:r>
      <w:r w:rsidR="00C26D01" w:rsidRPr="00387992">
        <w:t xml:space="preserve">therefore </w:t>
      </w:r>
      <w:r>
        <w:t>T</w:t>
      </w:r>
      <w:r w:rsidRPr="00387992">
        <w:t>hailand proposes no change</w:t>
      </w:r>
      <w:r>
        <w:t>s</w:t>
      </w:r>
      <w:r w:rsidRPr="00387992">
        <w:t xml:space="preserve"> to </w:t>
      </w:r>
      <w:r w:rsidR="00C26D01">
        <w:t xml:space="preserve">the Table of </w:t>
      </w:r>
      <w:r>
        <w:t>Frequency Allocation</w:t>
      </w:r>
      <w:r w:rsidR="00C26D01">
        <w:t>s</w:t>
      </w:r>
      <w:r>
        <w:t xml:space="preserve"> of </w:t>
      </w:r>
      <w:r w:rsidR="00C26D01">
        <w:t xml:space="preserve">the </w:t>
      </w:r>
      <w:r>
        <w:t>Radio Regulations in the frequency band 5 250-5 450 kHz</w:t>
      </w:r>
      <w:r w:rsidRPr="00387992">
        <w:t>.</w:t>
      </w:r>
      <w:r>
        <w:t xml:space="preserve"> Suppression of Resolution </w:t>
      </w:r>
      <w:r w:rsidRPr="00F5668E">
        <w:t xml:space="preserve">649 (WRC-12) </w:t>
      </w:r>
      <w:r>
        <w:t>would also be a consequential change.</w:t>
      </w:r>
    </w:p>
    <w:p w:rsidR="00F5668E" w:rsidRPr="00C26D01" w:rsidRDefault="00F5668E" w:rsidP="00F5668E">
      <w:pPr>
        <w:pStyle w:val="Headingb"/>
        <w:rPr>
          <w:lang w:val="en-GB"/>
        </w:rPr>
      </w:pPr>
      <w:r w:rsidRPr="00C26D01">
        <w:rPr>
          <w:lang w:val="en-GB"/>
        </w:rPr>
        <w:t>Proposals</w:t>
      </w:r>
    </w:p>
    <w:p w:rsidR="00187BD9" w:rsidRPr="00F5668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F5668E">
        <w:rPr>
          <w:lang w:val="en-US"/>
        </w:rPr>
        <w:br w:type="page"/>
      </w:r>
    </w:p>
    <w:p w:rsidR="009B463A" w:rsidRDefault="00DC10F8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DC10F8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DC10F8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1F59D1" w:rsidRDefault="00DC10F8">
      <w:pPr>
        <w:pStyle w:val="Proposal"/>
      </w:pPr>
      <w:r>
        <w:rPr>
          <w:u w:val="single"/>
        </w:rPr>
        <w:t>NOC</w:t>
      </w:r>
      <w:r>
        <w:tab/>
        <w:t>THA/34A4/1</w:t>
      </w:r>
    </w:p>
    <w:p w:rsidR="009B463A" w:rsidRDefault="00DC10F8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DC10F8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DC10F8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DC10F8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DC10F8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DC10F8" w:rsidP="00477577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DC10F8" w:rsidP="00477577">
            <w:pPr>
              <w:pStyle w:val="TableTextS5"/>
              <w:ind w:left="170" w:hanging="170"/>
            </w:pPr>
            <w:r w:rsidRPr="00B76897">
              <w:t>FIXED</w:t>
            </w:r>
          </w:p>
          <w:p w:rsidR="009B463A" w:rsidRPr="00B76897" w:rsidRDefault="00DC10F8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DC10F8" w:rsidP="00477577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DC10F8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DC10F8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DC10F8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DC10F8" w:rsidP="00477577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DC10F8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DC10F8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DC10F8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DC10F8" w:rsidP="00477577">
            <w:pPr>
              <w:pStyle w:val="TableTextS5"/>
            </w:pPr>
            <w:r w:rsidRPr="00B76897">
              <w:t>Radiolocation  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F5668E" w:rsidRDefault="00DC10F8" w:rsidP="00477577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F5668E">
              <w:rPr>
                <w:rStyle w:val="Tablefreq"/>
                <w:b w:val="0"/>
                <w:bCs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232550" w:rsidP="00477577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232550" w:rsidP="00477577">
            <w:pPr>
              <w:pStyle w:val="TableTextS5"/>
              <w:rPr>
                <w:rStyle w:val="Tablefreq"/>
              </w:rPr>
            </w:pPr>
          </w:p>
        </w:tc>
      </w:tr>
      <w:tr w:rsidR="009B463A" w:rsidRPr="00C26D01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DC10F8" w:rsidP="00477577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DC10F8" w:rsidP="00477577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</w:t>
            </w:r>
            <w:bookmarkStart w:id="10" w:name="_GoBack"/>
            <w:bookmarkEnd w:id="10"/>
            <w:r w:rsidRPr="00B76897">
              <w:rPr>
                <w:lang w:val="fr-CH"/>
              </w:rPr>
              <w:t xml:space="preserve"> mobile</w:t>
            </w:r>
          </w:p>
        </w:tc>
      </w:tr>
    </w:tbl>
    <w:p w:rsidR="001F59D1" w:rsidRDefault="00DC10F8">
      <w:pPr>
        <w:pStyle w:val="Reasons"/>
      </w:pPr>
      <w:r>
        <w:rPr>
          <w:b/>
        </w:rPr>
        <w:t>Reasons:</w:t>
      </w:r>
      <w:r>
        <w:tab/>
      </w:r>
      <w:r w:rsidR="00F5668E">
        <w:rPr>
          <w:szCs w:val="24"/>
        </w:rPr>
        <w:t>The frequency band 5 250-</w:t>
      </w:r>
      <w:r w:rsidR="00F5668E" w:rsidRPr="00387992">
        <w:rPr>
          <w:szCs w:val="24"/>
        </w:rPr>
        <w:t xml:space="preserve">5 450 kHz is currently used by fixed and mobile services </w:t>
      </w:r>
      <w:r w:rsidR="00F5668E">
        <w:rPr>
          <w:szCs w:val="24"/>
        </w:rPr>
        <w:t xml:space="preserve">on </w:t>
      </w:r>
      <w:r w:rsidR="00C26D01">
        <w:rPr>
          <w:szCs w:val="24"/>
        </w:rPr>
        <w:t xml:space="preserve">a </w:t>
      </w:r>
      <w:r w:rsidR="00F5668E">
        <w:rPr>
          <w:szCs w:val="24"/>
        </w:rPr>
        <w:t>primary basis</w:t>
      </w:r>
      <w:r w:rsidR="00F5668E" w:rsidRPr="00387992">
        <w:rPr>
          <w:szCs w:val="24"/>
        </w:rPr>
        <w:t xml:space="preserve"> in Thailand and ITU-R sharing studies indicated that amateur stations </w:t>
      </w:r>
      <w:r w:rsidR="00F5668E">
        <w:rPr>
          <w:szCs w:val="24"/>
        </w:rPr>
        <w:t>could</w:t>
      </w:r>
      <w:r w:rsidR="00F5668E" w:rsidRPr="00387992">
        <w:rPr>
          <w:szCs w:val="24"/>
        </w:rPr>
        <w:t xml:space="preserve"> cause interference to fixed or mobile services</w:t>
      </w:r>
      <w:r w:rsidR="00F5668E">
        <w:rPr>
          <w:szCs w:val="24"/>
        </w:rPr>
        <w:t>.</w:t>
      </w:r>
    </w:p>
    <w:p w:rsidR="001F59D1" w:rsidRDefault="00DC10F8">
      <w:pPr>
        <w:pStyle w:val="Proposal"/>
      </w:pPr>
      <w:r>
        <w:t>SUP</w:t>
      </w:r>
      <w:r>
        <w:tab/>
        <w:t>THA/34A4/2</w:t>
      </w:r>
    </w:p>
    <w:p w:rsidR="003638D8" w:rsidRPr="006905BC" w:rsidRDefault="00DC10F8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649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DC10F8" w:rsidP="00114582">
      <w:pPr>
        <w:pStyle w:val="Restitle"/>
      </w:pPr>
      <w:bookmarkStart w:id="11" w:name="_Toc327364529"/>
      <w:r w:rsidRPr="006905BC">
        <w:t xml:space="preserve">Possible allocation to the amateur service on a </w:t>
      </w:r>
      <w:r w:rsidRPr="006905BC">
        <w:br/>
        <w:t>secondary basis at around 5 300 kHz</w:t>
      </w:r>
      <w:bookmarkEnd w:id="11"/>
    </w:p>
    <w:p w:rsidR="001F59D1" w:rsidRDefault="00DC10F8">
      <w:pPr>
        <w:pStyle w:val="Reasons"/>
      </w:pPr>
      <w:r>
        <w:rPr>
          <w:b/>
        </w:rPr>
        <w:t>Reasons:</w:t>
      </w:r>
      <w:r>
        <w:tab/>
      </w:r>
      <w:r w:rsidR="00F5668E" w:rsidRPr="00EC0BEE">
        <w:t xml:space="preserve">This </w:t>
      </w:r>
      <w:r w:rsidR="00F5668E">
        <w:t>R</w:t>
      </w:r>
      <w:r w:rsidR="00F5668E" w:rsidRPr="00EC0BEE">
        <w:t>esolution is no longer required</w:t>
      </w:r>
      <w:r w:rsidR="00F5668E">
        <w:t>.</w:t>
      </w:r>
    </w:p>
    <w:p w:rsidR="00F5668E" w:rsidRDefault="00F5668E" w:rsidP="0032202E">
      <w:pPr>
        <w:pStyle w:val="Reasons"/>
      </w:pPr>
    </w:p>
    <w:p w:rsidR="00F5668E" w:rsidRDefault="00F5668E">
      <w:pPr>
        <w:jc w:val="center"/>
      </w:pPr>
      <w:r>
        <w:t>______________</w:t>
      </w:r>
    </w:p>
    <w:p w:rsidR="00F5668E" w:rsidRDefault="00F5668E">
      <w:pPr>
        <w:pStyle w:val="Reasons"/>
      </w:pPr>
    </w:p>
    <w:sectPr w:rsidR="00F5668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2926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6" w:rsidRPr="0041348E" w:rsidRDefault="00432926" w:rsidP="00432926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P:\ENG\ITU-R\CONF-R\CMR15\000\034ADD04REV1E.docx</w:t>
    </w:r>
    <w:r>
      <w:fldChar w:fldCharType="end"/>
    </w:r>
    <w:r>
      <w:t xml:space="preserve"> (388420)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32926">
      <w:rPr>
        <w:lang w:val="en-US"/>
      </w:rPr>
      <w:t>P:\ENG\ITU-R\CONF-R\CMR15\000\034ADD04REV1E.docx</w:t>
    </w:r>
    <w:r>
      <w:fldChar w:fldCharType="end"/>
    </w:r>
    <w:r w:rsidR="00432926">
      <w:t xml:space="preserve"> (388420)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2926"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10F8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3255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34(Add.4)(Rev.1)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D24167D"/>
    <w:multiLevelType w:val="hybridMultilevel"/>
    <w:tmpl w:val="2AB2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59D1"/>
    <w:rsid w:val="002009EA"/>
    <w:rsid w:val="00202CA0"/>
    <w:rsid w:val="00216B6D"/>
    <w:rsid w:val="00232550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2926"/>
    <w:rsid w:val="00492075"/>
    <w:rsid w:val="004969AD"/>
    <w:rsid w:val="004A26C4"/>
    <w:rsid w:val="004A35B7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6D01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C10F8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668E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EEA5191-3804-47DF-B56B-D7ABD8A4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link w:val="ListParagraphChar"/>
    <w:uiPriority w:val="34"/>
    <w:qFormat/>
    <w:rsid w:val="00F5668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ngsana New"/>
      <w:sz w:val="22"/>
      <w:szCs w:val="28"/>
      <w:lang w:val="x-none" w:eastAsia="x-none" w:bidi="th-TH"/>
    </w:rPr>
  </w:style>
  <w:style w:type="character" w:customStyle="1" w:styleId="ListParagraphChar">
    <w:name w:val="List Paragraph Char"/>
    <w:link w:val="ListParagraph"/>
    <w:uiPriority w:val="34"/>
    <w:locked/>
    <w:rsid w:val="00F5668E"/>
    <w:rPr>
      <w:rFonts w:ascii="Calibri" w:hAnsi="Calibri" w:cs="Angsana New"/>
      <w:sz w:val="22"/>
      <w:szCs w:val="28"/>
      <w:lang w:val="x-none" w:eastAsia="x-non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R15-WRC15-C-0034!A4-R1!MSW-E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C3F44-C9E6-45CF-BC4E-1A3CBBF3499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687AEB-3525-496D-AB28-F972D93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2</Pages>
  <Words>351</Words>
  <Characters>1973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R15-WRC15-C-0034!A4-R1!MSW-E</vt:lpstr>
    </vt:vector>
  </TitlesOfParts>
  <Manager>General Secretariat - Pool</Manager>
  <Company>International Telecommunication Union (ITU)</Company>
  <LinksUpToDate>false</LinksUpToDate>
  <CharactersWithSpaces>2268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R15-WRC15-C-0034!A4-R1!MSW-E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7</cp:revision>
  <cp:lastPrinted>2014-02-10T09:49:00Z</cp:lastPrinted>
  <dcterms:created xsi:type="dcterms:W3CDTF">2015-10-19T20:14:00Z</dcterms:created>
  <dcterms:modified xsi:type="dcterms:W3CDTF">2015-10-19T20:20:00Z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