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8A48AF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8A48AF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A48AF" w:rsidRDefault="003E1608" w:rsidP="008A48AF">
            <w:pPr>
              <w:pStyle w:val="Adress"/>
              <w:framePr w:hSpace="0" w:wrap="auto" w:xAlign="left" w:yAlign="inline"/>
              <w:rPr>
                <w:rtl/>
              </w:rPr>
            </w:pPr>
            <w:r w:rsidRPr="008A48AF">
              <w:rPr>
                <w:rtl/>
              </w:rPr>
              <w:t xml:space="preserve">المراجعة </w:t>
            </w:r>
            <w:r w:rsidRPr="008A48AF">
              <w:t>1</w:t>
            </w:r>
            <w:r w:rsidRPr="008A48AF">
              <w:br/>
            </w:r>
            <w:r w:rsidRPr="008A48AF">
              <w:rPr>
                <w:rtl/>
              </w:rPr>
              <w:t xml:space="preserve">للوثيقة </w:t>
            </w:r>
            <w:r w:rsidRPr="008A48AF">
              <w:t>34(Add.4)-</w:t>
            </w:r>
            <w:r w:rsidR="008A48AF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A48A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A48A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8A48AF">
              <w:rPr>
                <w:rFonts w:eastAsia="SimSun"/>
              </w:rPr>
              <w:t>15</w:t>
            </w:r>
            <w:r w:rsidRPr="008A48AF">
              <w:rPr>
                <w:rFonts w:eastAsia="SimSun"/>
                <w:rtl/>
              </w:rPr>
              <w:t xml:space="preserve"> أكتوبر </w:t>
            </w:r>
            <w:r w:rsidRPr="008A48AF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8A48A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A48A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A48AF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تايلاند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A48AF" w:rsidP="008A48AF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مقترحات بشأن أعمال ال</w:t>
            </w:r>
            <w:r w:rsidR="00B7290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B7290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D45E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1D45E4">
              <w:t>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5649B8" w:rsidP="002D141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4.1</w:t>
      </w:r>
      <w:r w:rsidRPr="00431196">
        <w:rPr>
          <w:rFonts w:eastAsia="SimSun" w:hint="cs"/>
          <w:rtl/>
        </w:rPr>
        <w:tab/>
      </w:r>
      <w:r w:rsidRPr="00D92A8F">
        <w:rPr>
          <w:rFonts w:eastAsia="SimSun" w:hint="cs"/>
          <w:spacing w:val="6"/>
          <w:rtl/>
        </w:rPr>
        <w:t xml:space="preserve">النظر في إمكانية منح توزيع جديد لخدمة الهواة على أساس ثانوي في النطاق </w:t>
      </w:r>
      <w:r w:rsidRPr="00D92A8F">
        <w:rPr>
          <w:rFonts w:eastAsia="SimSun"/>
          <w:spacing w:val="6"/>
        </w:rPr>
        <w:t>kHz 5 450</w:t>
      </w:r>
      <w:r w:rsidRPr="00D92A8F">
        <w:rPr>
          <w:rFonts w:eastAsia="SimSun"/>
          <w:spacing w:val="6"/>
        </w:rPr>
        <w:noBreakHyphen/>
        <w:t>5 250</w:t>
      </w:r>
      <w:r w:rsidRPr="00D92A8F">
        <w:rPr>
          <w:rFonts w:eastAsia="SimSun" w:hint="cs"/>
          <w:spacing w:val="6"/>
          <w:rtl/>
        </w:rPr>
        <w:t xml:space="preserve"> وفقاً للقرار</w:t>
      </w:r>
      <w:r w:rsidR="00D92A8F">
        <w:rPr>
          <w:rFonts w:eastAsia="SimSun" w:hint="eastAsia"/>
          <w:spacing w:val="6"/>
          <w:rtl/>
        </w:rPr>
        <w:t> </w:t>
      </w:r>
      <w:r w:rsidR="002D141A">
        <w:rPr>
          <w:rFonts w:eastAsia="SimSun"/>
          <w:b/>
          <w:bCs/>
        </w:rPr>
        <w:t>649 </w:t>
      </w:r>
      <w:r w:rsidR="00C23652" w:rsidRPr="00431196">
        <w:rPr>
          <w:rFonts w:eastAsia="SimSun"/>
          <w:b/>
          <w:bCs/>
        </w:rPr>
        <w:t>(WRC-12)</w:t>
      </w:r>
      <w:r w:rsidRPr="00431196">
        <w:rPr>
          <w:rFonts w:eastAsia="SimSun" w:hint="cs"/>
          <w:rtl/>
        </w:rPr>
        <w:t>؛</w:t>
      </w:r>
    </w:p>
    <w:p w:rsidR="00B7290A" w:rsidRPr="00B7290A" w:rsidRDefault="00B7290A" w:rsidP="00B7290A">
      <w:pPr>
        <w:rPr>
          <w:rFonts w:eastAsia="SimSun"/>
          <w:rtl/>
        </w:rPr>
      </w:pPr>
    </w:p>
    <w:p w:rsidR="00F16602" w:rsidRDefault="007856EC" w:rsidP="00BF774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856EC" w:rsidRDefault="00C23652" w:rsidP="002D141A">
      <w:pPr>
        <w:rPr>
          <w:rtl/>
          <w:lang w:val="en-GB"/>
        </w:rPr>
      </w:pPr>
      <w:r w:rsidRPr="00D92A8F">
        <w:rPr>
          <w:rFonts w:hint="cs"/>
          <w:spacing w:val="-4"/>
          <w:rtl/>
        </w:rPr>
        <w:t xml:space="preserve">دعا القرار </w:t>
      </w:r>
      <w:r w:rsidR="002D141A">
        <w:rPr>
          <w:rFonts w:eastAsia="SimSun"/>
          <w:spacing w:val="-4"/>
        </w:rPr>
        <w:t>649 </w:t>
      </w:r>
      <w:r w:rsidRPr="00D92A8F">
        <w:rPr>
          <w:rFonts w:eastAsia="SimSun"/>
          <w:spacing w:val="-4"/>
        </w:rPr>
        <w:t>(WRC-12)</w:t>
      </w:r>
      <w:r w:rsidRPr="00D92A8F">
        <w:rPr>
          <w:rFonts w:eastAsia="SimSun" w:hint="cs"/>
          <w:spacing w:val="-4"/>
          <w:rtl/>
        </w:rPr>
        <w:t xml:space="preserve"> مؤتمر </w:t>
      </w:r>
      <w:r w:rsidRPr="00D92A8F">
        <w:rPr>
          <w:iCs/>
          <w:spacing w:val="-4"/>
          <w:lang w:val="en-AU"/>
        </w:rPr>
        <w:t>WRC-15</w:t>
      </w:r>
      <w:r w:rsidRPr="00D92A8F">
        <w:rPr>
          <w:rFonts w:hint="cs"/>
          <w:iCs/>
          <w:spacing w:val="-4"/>
          <w:rtl/>
          <w:lang w:val="en-AU"/>
        </w:rPr>
        <w:t xml:space="preserve"> </w:t>
      </w:r>
      <w:r w:rsidRPr="00D92A8F">
        <w:rPr>
          <w:rFonts w:hint="cs"/>
          <w:i/>
          <w:spacing w:val="-4"/>
          <w:rtl/>
          <w:lang w:val="en-AU"/>
        </w:rPr>
        <w:t xml:space="preserve">للنظر في إمكانية منح توزيع </w:t>
      </w:r>
      <w:r w:rsidRPr="00D92A8F">
        <w:rPr>
          <w:rFonts w:hint="cs"/>
          <w:spacing w:val="-4"/>
          <w:rtl/>
        </w:rPr>
        <w:t xml:space="preserve">لخدمة الهواة </w:t>
      </w:r>
      <w:r w:rsidR="008A3694" w:rsidRPr="00D92A8F">
        <w:rPr>
          <w:rFonts w:hint="cs"/>
          <w:spacing w:val="-4"/>
          <w:rtl/>
        </w:rPr>
        <w:t xml:space="preserve">على أساس ثانوي </w:t>
      </w:r>
      <w:r w:rsidR="008A3694" w:rsidRPr="00D92A8F">
        <w:rPr>
          <w:rFonts w:hint="cs"/>
          <w:i/>
          <w:spacing w:val="-4"/>
          <w:rtl/>
          <w:lang w:val="en-AU"/>
        </w:rPr>
        <w:t>عند حوالي</w:t>
      </w:r>
      <w:r w:rsidR="002D141A">
        <w:rPr>
          <w:rFonts w:hint="eastAsia"/>
          <w:i/>
          <w:rtl/>
          <w:lang w:val="en-AU"/>
        </w:rPr>
        <w:t> </w:t>
      </w:r>
      <w:r w:rsidR="002D141A">
        <w:t>kHz </w:t>
      </w:r>
      <w:r w:rsidR="008A3694" w:rsidRPr="00163E44">
        <w:t>5</w:t>
      </w:r>
      <w:r w:rsidR="002D141A">
        <w:t> </w:t>
      </w:r>
      <w:r w:rsidR="00D92A8F">
        <w:t>300</w:t>
      </w:r>
      <w:r w:rsidR="008A3694">
        <w:rPr>
          <w:rFonts w:hint="cs"/>
          <w:rtl/>
        </w:rPr>
        <w:t xml:space="preserve"> </w:t>
      </w:r>
      <w:r>
        <w:rPr>
          <w:rFonts w:hint="cs"/>
          <w:rtl/>
        </w:rPr>
        <w:t xml:space="preserve">بغية توفير اتصالات موثوقة أثناء تيسير عمليات الإغاثة في حالات الطوارئ والكوارث. ويدعو هذا القرار قطاع الاتصالات الراديوية إلى </w:t>
      </w:r>
      <w:r w:rsidR="002B2950">
        <w:rPr>
          <w:rFonts w:hint="cs"/>
          <w:rtl/>
        </w:rPr>
        <w:t>أن ينظر في متطلبات الطيف للتوزيع الثانوي، وغير المتجاور بالضرورة</w:t>
      </w:r>
      <w:r w:rsidR="008A3694">
        <w:rPr>
          <w:rFonts w:hint="cs"/>
          <w:rtl/>
        </w:rPr>
        <w:t>،</w:t>
      </w:r>
      <w:r w:rsidR="00BF7744" w:rsidRPr="00BF7744">
        <w:rPr>
          <w:rFonts w:hint="cs"/>
          <w:rtl/>
        </w:rPr>
        <w:t xml:space="preserve"> في</w:t>
      </w:r>
      <w:r w:rsidR="00BF7744" w:rsidRPr="00BF7744">
        <w:rPr>
          <w:rFonts w:hint="eastAsia"/>
          <w:rtl/>
        </w:rPr>
        <w:t> </w:t>
      </w:r>
      <w:r w:rsidR="00BF7744" w:rsidRPr="00BF7744">
        <w:rPr>
          <w:rFonts w:hint="cs"/>
          <w:rtl/>
        </w:rPr>
        <w:t xml:space="preserve">النطاق </w:t>
      </w:r>
      <w:r w:rsidR="00BF7744" w:rsidRPr="00BF7744">
        <w:rPr>
          <w:lang w:val="en-GB"/>
        </w:rPr>
        <w:t>kHz 5 450</w:t>
      </w:r>
      <w:r w:rsidR="00BF7744" w:rsidRPr="00BF7744">
        <w:rPr>
          <w:lang w:val="en-GB"/>
        </w:rPr>
        <w:noBreakHyphen/>
        <w:t>5 250</w:t>
      </w:r>
      <w:r w:rsidR="00BF7744">
        <w:rPr>
          <w:rFonts w:hint="cs"/>
          <w:rtl/>
          <w:lang w:val="en-GB"/>
        </w:rPr>
        <w:t xml:space="preserve"> </w:t>
      </w:r>
      <w:r w:rsidR="002B2950">
        <w:rPr>
          <w:rFonts w:hint="cs"/>
          <w:rtl/>
          <w:lang w:val="en-GB"/>
        </w:rPr>
        <w:t>وأن يجري دراسات تقاسم بش</w:t>
      </w:r>
      <w:r w:rsidR="008A3694">
        <w:rPr>
          <w:rFonts w:hint="cs"/>
          <w:rtl/>
          <w:lang w:val="en-GB"/>
        </w:rPr>
        <w:t>أ</w:t>
      </w:r>
      <w:r w:rsidR="002B2950">
        <w:rPr>
          <w:rFonts w:hint="cs"/>
          <w:rtl/>
          <w:lang w:val="en-GB"/>
        </w:rPr>
        <w:t>ن الأثر على الخدمات الأخرى التي لديها توزيعات في</w:t>
      </w:r>
      <w:r w:rsidR="008A3694">
        <w:rPr>
          <w:rFonts w:hint="cs"/>
          <w:rtl/>
          <w:lang w:val="en-GB"/>
        </w:rPr>
        <w:t xml:space="preserve"> هذا</w:t>
      </w:r>
      <w:r w:rsidR="002B2950">
        <w:rPr>
          <w:rFonts w:hint="cs"/>
          <w:rtl/>
          <w:lang w:val="en-GB"/>
        </w:rPr>
        <w:t xml:space="preserve"> النطاق وفي النطاقات</w:t>
      </w:r>
      <w:r w:rsidR="002D141A">
        <w:rPr>
          <w:rFonts w:hint="eastAsia"/>
          <w:rtl/>
          <w:lang w:val="en-GB"/>
        </w:rPr>
        <w:t> </w:t>
      </w:r>
      <w:r w:rsidR="002B2950">
        <w:rPr>
          <w:rFonts w:hint="cs"/>
          <w:rtl/>
          <w:lang w:val="en-GB"/>
        </w:rPr>
        <w:t>المجاورة.</w:t>
      </w:r>
    </w:p>
    <w:p w:rsidR="002B2950" w:rsidRDefault="002B2950" w:rsidP="002D141A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وبما أن نطاق التردد </w:t>
      </w:r>
      <w:r w:rsidRPr="00BF7744">
        <w:rPr>
          <w:lang w:val="en-GB"/>
        </w:rPr>
        <w:t>kHz 5 450</w:t>
      </w:r>
      <w:r w:rsidRPr="00BF7744">
        <w:rPr>
          <w:lang w:val="en-GB"/>
        </w:rPr>
        <w:noBreakHyphen/>
        <w:t>5 250</w:t>
      </w:r>
      <w:r>
        <w:rPr>
          <w:rFonts w:hint="cs"/>
          <w:rtl/>
          <w:lang w:val="en-GB"/>
        </w:rPr>
        <w:t xml:space="preserve"> يُستخدم حالياً من جانب الخدمات الثابتة والمتنقلة على أساس أولي في</w:t>
      </w:r>
      <w:r w:rsidR="002D141A">
        <w:rPr>
          <w:rFonts w:hint="eastAsia"/>
          <w:rtl/>
          <w:lang w:val="en-GB"/>
        </w:rPr>
        <w:t> </w:t>
      </w:r>
      <w:r>
        <w:rPr>
          <w:rFonts w:hint="cs"/>
          <w:rtl/>
          <w:lang w:val="en-GB"/>
        </w:rPr>
        <w:t>تايلاند وأن دراسات قطاع الاتصالات الراديوية أشا</w:t>
      </w:r>
      <w:r w:rsidR="008A3694">
        <w:rPr>
          <w:rFonts w:hint="cs"/>
          <w:rtl/>
          <w:lang w:val="en-GB"/>
        </w:rPr>
        <w:t>ر</w:t>
      </w:r>
      <w:r>
        <w:rPr>
          <w:rFonts w:hint="cs"/>
          <w:rtl/>
          <w:lang w:val="en-GB"/>
        </w:rPr>
        <w:t>ت إلى أن محطات الهواة يمكن أن تُسبب تداخلاً مع الخدمات الثابتة أو</w:t>
      </w:r>
      <w:r w:rsidR="002D141A">
        <w:rPr>
          <w:rFonts w:hint="eastAsia"/>
          <w:rtl/>
          <w:lang w:val="en-GB"/>
        </w:rPr>
        <w:t> </w:t>
      </w:r>
      <w:r>
        <w:rPr>
          <w:rFonts w:hint="cs"/>
          <w:rtl/>
          <w:lang w:val="en-GB"/>
        </w:rPr>
        <w:t xml:space="preserve">المتنقلة فإن تايلاند تقترح عدم إدخال أي تغيير على </w:t>
      </w:r>
      <w:r>
        <w:rPr>
          <w:color w:val="000000"/>
          <w:rtl/>
        </w:rPr>
        <w:t>جدول توزيع نطاقات التردد الوارد في لوائح الراديو في نطاق التردد</w:t>
      </w:r>
      <w:r w:rsidR="002D141A">
        <w:rPr>
          <w:rFonts w:hint="eastAsia"/>
          <w:color w:val="000000"/>
          <w:rtl/>
        </w:rPr>
        <w:t> </w:t>
      </w:r>
      <w:r>
        <w:rPr>
          <w:color w:val="000000"/>
        </w:rPr>
        <w:t>kHz</w:t>
      </w:r>
      <w:r w:rsidR="002D141A">
        <w:rPr>
          <w:color w:val="000000"/>
        </w:rPr>
        <w:t> </w:t>
      </w:r>
      <w:r>
        <w:rPr>
          <w:color w:val="000000"/>
        </w:rPr>
        <w:t>5</w:t>
      </w:r>
      <w:r w:rsidR="002D141A">
        <w:rPr>
          <w:color w:val="000000"/>
        </w:rPr>
        <w:t> </w:t>
      </w:r>
      <w:r>
        <w:rPr>
          <w:color w:val="000000"/>
        </w:rPr>
        <w:t>450</w:t>
      </w:r>
      <w:r w:rsidR="002D141A">
        <w:rPr>
          <w:color w:val="000000"/>
        </w:rPr>
        <w:noBreakHyphen/>
      </w:r>
      <w:r>
        <w:rPr>
          <w:color w:val="000000"/>
        </w:rPr>
        <w:t>5</w:t>
      </w:r>
      <w:r w:rsidR="002D141A">
        <w:rPr>
          <w:color w:val="000000"/>
        </w:rPr>
        <w:t> </w:t>
      </w:r>
      <w:r>
        <w:rPr>
          <w:color w:val="000000"/>
        </w:rPr>
        <w:t>250</w:t>
      </w:r>
      <w:r>
        <w:rPr>
          <w:rFonts w:hint="cs"/>
          <w:color w:val="000000"/>
          <w:rtl/>
        </w:rPr>
        <w:t xml:space="preserve">. </w:t>
      </w:r>
      <w:r w:rsidR="00351B6B">
        <w:rPr>
          <w:rFonts w:eastAsia="Calibri" w:hint="cs"/>
          <w:rtl/>
          <w:lang w:val="en-AU"/>
        </w:rPr>
        <w:t>و</w:t>
      </w:r>
      <w:r w:rsidR="008A3694">
        <w:rPr>
          <w:rFonts w:eastAsia="Calibri" w:hint="cs"/>
          <w:rtl/>
          <w:lang w:val="en-AU"/>
        </w:rPr>
        <w:t>س</w:t>
      </w:r>
      <w:r w:rsidR="00351B6B">
        <w:rPr>
          <w:rFonts w:eastAsia="Calibri" w:hint="cs"/>
          <w:rtl/>
          <w:lang w:val="en-AU"/>
        </w:rPr>
        <w:t>يترتب على ذلك أيضاً إلغاء القرار</w:t>
      </w:r>
      <w:r w:rsidR="002D141A">
        <w:rPr>
          <w:rFonts w:eastAsia="Calibri" w:hint="eastAsia"/>
          <w:rtl/>
          <w:lang w:val="en-AU"/>
        </w:rPr>
        <w:t> </w:t>
      </w:r>
      <w:r w:rsidR="002D141A">
        <w:rPr>
          <w:rFonts w:eastAsia="SimSun"/>
        </w:rPr>
        <w:t>649 </w:t>
      </w:r>
      <w:r w:rsidR="00351B6B" w:rsidRPr="00C23652">
        <w:rPr>
          <w:rFonts w:eastAsia="SimSun"/>
        </w:rPr>
        <w:t>(WRC-12)</w:t>
      </w:r>
      <w:r w:rsidR="00351B6B">
        <w:rPr>
          <w:rFonts w:eastAsia="SimSun" w:hint="cs"/>
          <w:rtl/>
        </w:rPr>
        <w:t>.</w:t>
      </w:r>
    </w:p>
    <w:p w:rsidR="00BF7744" w:rsidRDefault="00BF7744" w:rsidP="00BF7744">
      <w:pPr>
        <w:pStyle w:val="Headingb"/>
        <w:rPr>
          <w:rtl/>
          <w:lang w:val="en-GB"/>
        </w:rPr>
      </w:pPr>
      <w:r>
        <w:rPr>
          <w:rFonts w:hint="cs"/>
          <w:rtl/>
          <w:lang w:val="en-GB"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5649B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5649B8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5649B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551139" w:rsidRDefault="005649B8">
      <w:pPr>
        <w:pStyle w:val="Proposal"/>
      </w:pPr>
      <w:r>
        <w:rPr>
          <w:u w:val="single"/>
        </w:rPr>
        <w:t>NOC</w:t>
      </w:r>
      <w:r>
        <w:tab/>
        <w:t>THA/34A4/1</w:t>
      </w:r>
    </w:p>
    <w:p w:rsidR="009F37C9" w:rsidRPr="00FC1FA1" w:rsidRDefault="005649B8">
      <w:pPr>
        <w:pStyle w:val="Tabletitle"/>
        <w:spacing w:before="240"/>
        <w:pPrChange w:id="2" w:author="El Wardany, Samy" w:date="2011-08-01T14:42:00Z">
          <w:pPr/>
        </w:pPrChange>
      </w:pPr>
      <w:r w:rsidRPr="00FC1FA1">
        <w:t xml:space="preserve">kHz 7 </w:t>
      </w:r>
      <w:r>
        <w:t>4</w:t>
      </w:r>
      <w:r w:rsidRPr="00FC1FA1">
        <w:t>50-5 003</w:t>
      </w:r>
    </w:p>
    <w:tbl>
      <w:tblPr>
        <w:bidiVisual/>
        <w:tblW w:w="95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93"/>
        <w:gridCol w:w="3176"/>
        <w:gridCol w:w="13"/>
        <w:gridCol w:w="3152"/>
      </w:tblGrid>
      <w:tr w:rsidR="00495A5E" w:rsidTr="00FE7E6B">
        <w:trPr>
          <w:cantSplit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5649B8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95A5E" w:rsidTr="00F83995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5649B8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5649B8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5649B8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95A5E" w:rsidRPr="00AA0EDA" w:rsidTr="00F83995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5649B8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1A228B" w:rsidRDefault="005649B8" w:rsidP="00FE7E6B">
            <w:pPr>
              <w:pStyle w:val="TabletextS5"/>
              <w:rPr>
                <w:b/>
                <w:bCs/>
                <w:rtl/>
              </w:rPr>
            </w:pPr>
            <w:r w:rsidRPr="001A228B">
              <w:rPr>
                <w:b/>
                <w:bCs/>
                <w:rtl/>
              </w:rPr>
              <w:t>ثابتة</w:t>
            </w:r>
          </w:p>
          <w:p w:rsidR="00495A5E" w:rsidRPr="00AA0EDA" w:rsidRDefault="005649B8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5649B8" w:rsidP="00FE7E6B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C544F0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  <w:p w:rsidR="00495A5E" w:rsidRPr="005900EE" w:rsidRDefault="005649B8" w:rsidP="00FE7E6B">
            <w:pPr>
              <w:pStyle w:val="TabletextS5"/>
              <w:rPr>
                <w:rStyle w:val="Artref"/>
                <w:b w:val="0"/>
                <w:bCs w:val="0"/>
              </w:rPr>
            </w:pPr>
            <w:r w:rsidRPr="005900EE">
              <w:rPr>
                <w:rStyle w:val="Artref"/>
                <w:b w:val="0"/>
                <w:bCs w:val="0"/>
              </w:rPr>
              <w:t>133A.5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5649B8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AA0EDA" w:rsidRDefault="005649B8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5649B8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5649B8" w:rsidP="00FE7E6B">
            <w:pPr>
              <w:pStyle w:val="TabletextS5"/>
            </w:pPr>
            <w:r w:rsidRPr="00D80ED0">
              <w:rPr>
                <w:rFonts w:hint="cs"/>
                <w:b/>
                <w:bCs/>
                <w:rtl/>
              </w:rPr>
              <w:t>تحديد راديوي</w:t>
            </w:r>
            <w:r>
              <w:rPr>
                <w:rFonts w:hint="cs"/>
                <w:b/>
                <w:bCs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C544F0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5649B8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AA0EDA" w:rsidRDefault="005649B8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5649B8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5649B8" w:rsidP="00FE7E6B">
            <w:pPr>
              <w:pStyle w:val="TabletextS5"/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C544F0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  <w:p w:rsidR="00495A5E" w:rsidRPr="00AA0EDA" w:rsidRDefault="00B7290A" w:rsidP="00FE7E6B">
            <w:pPr>
              <w:spacing w:line="270" w:lineRule="exact"/>
            </w:pPr>
          </w:p>
        </w:tc>
      </w:tr>
      <w:tr w:rsidR="00495A5E" w:rsidRPr="00AA0EDA" w:rsidTr="00FE7E6B">
        <w:trPr>
          <w:cantSplit/>
        </w:trPr>
        <w:tc>
          <w:tcPr>
            <w:tcW w:w="95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Pr="00AA0EDA" w:rsidRDefault="005649B8" w:rsidP="00F20D26">
            <w:pPr>
              <w:pStyle w:val="TabletextS5"/>
              <w:tabs>
                <w:tab w:val="clear" w:pos="3016"/>
                <w:tab w:val="left" w:pos="3198"/>
              </w:tabs>
              <w:rPr>
                <w:rtl/>
              </w:rPr>
            </w:pPr>
            <w:r w:rsidRPr="00AA0EDA">
              <w:rPr>
                <w:rStyle w:val="Tablefreq"/>
              </w:rPr>
              <w:t>5 450-5 275</w:t>
            </w:r>
            <w:r w:rsidRPr="008107A8">
              <w:tab/>
            </w: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5649B8" w:rsidP="00F20D26">
            <w:pPr>
              <w:pStyle w:val="TabletextS5"/>
              <w:tabs>
                <w:tab w:val="clear" w:pos="3016"/>
                <w:tab w:val="left" w:pos="3198"/>
              </w:tabs>
            </w:pPr>
            <w:r w:rsidRPr="00AA0EDA">
              <w:rPr>
                <w:rFonts w:hint="cs"/>
                <w:b/>
                <w:bCs/>
                <w:rtl/>
              </w:rPr>
              <w:tab/>
            </w: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</w:tc>
      </w:tr>
    </w:tbl>
    <w:p w:rsidR="00551139" w:rsidRPr="00351B6B" w:rsidRDefault="005649B8" w:rsidP="00641313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351B6B">
        <w:rPr>
          <w:rFonts w:hint="cs"/>
          <w:b w:val="0"/>
          <w:bCs w:val="0"/>
          <w:rtl/>
        </w:rPr>
        <w:t xml:space="preserve">يُستخدم نطاق التردد </w:t>
      </w:r>
      <w:r w:rsidR="00351B6B" w:rsidRPr="00351B6B">
        <w:rPr>
          <w:b w:val="0"/>
          <w:bCs w:val="0"/>
          <w:lang w:val="en-GB"/>
        </w:rPr>
        <w:t>kHz 5 450</w:t>
      </w:r>
      <w:r w:rsidR="00351B6B" w:rsidRPr="00351B6B">
        <w:rPr>
          <w:b w:val="0"/>
          <w:bCs w:val="0"/>
          <w:lang w:val="en-GB"/>
        </w:rPr>
        <w:noBreakHyphen/>
        <w:t>5 250</w:t>
      </w:r>
      <w:r w:rsidR="00351B6B" w:rsidRPr="00351B6B">
        <w:rPr>
          <w:rFonts w:hint="cs"/>
          <w:b w:val="0"/>
          <w:bCs w:val="0"/>
          <w:rtl/>
          <w:lang w:val="en-GB"/>
        </w:rPr>
        <w:t xml:space="preserve"> حالياً من جانب الخدمات الثابتة والمتنقلة على أساس أولي في</w:t>
      </w:r>
      <w:r w:rsidR="00641313">
        <w:rPr>
          <w:rFonts w:hint="eastAsia"/>
          <w:b w:val="0"/>
          <w:bCs w:val="0"/>
          <w:rtl/>
          <w:lang w:val="en-GB"/>
        </w:rPr>
        <w:t> </w:t>
      </w:r>
      <w:r w:rsidR="00351B6B" w:rsidRPr="00351B6B">
        <w:rPr>
          <w:rFonts w:hint="cs"/>
          <w:b w:val="0"/>
          <w:bCs w:val="0"/>
          <w:rtl/>
          <w:lang w:val="en-GB"/>
        </w:rPr>
        <w:t xml:space="preserve">تايلاند </w:t>
      </w:r>
      <w:r w:rsidR="008A3694">
        <w:rPr>
          <w:rFonts w:hint="cs"/>
          <w:b w:val="0"/>
          <w:bCs w:val="0"/>
          <w:rtl/>
          <w:lang w:val="en-GB"/>
        </w:rPr>
        <w:t xml:space="preserve">كما </w:t>
      </w:r>
      <w:r w:rsidR="008A3694" w:rsidRPr="00351B6B">
        <w:rPr>
          <w:rFonts w:hint="cs"/>
          <w:b w:val="0"/>
          <w:bCs w:val="0"/>
          <w:rtl/>
          <w:lang w:val="en-GB"/>
        </w:rPr>
        <w:t>أشا</w:t>
      </w:r>
      <w:r w:rsidR="008A3694">
        <w:rPr>
          <w:rFonts w:hint="cs"/>
          <w:b w:val="0"/>
          <w:bCs w:val="0"/>
          <w:rtl/>
          <w:lang w:val="en-GB"/>
        </w:rPr>
        <w:t>ر</w:t>
      </w:r>
      <w:r w:rsidR="008A3694" w:rsidRPr="00351B6B">
        <w:rPr>
          <w:rFonts w:hint="cs"/>
          <w:b w:val="0"/>
          <w:bCs w:val="0"/>
          <w:rtl/>
          <w:lang w:val="en-GB"/>
        </w:rPr>
        <w:t xml:space="preserve">ت </w:t>
      </w:r>
      <w:r w:rsidR="00351B6B" w:rsidRPr="00351B6B">
        <w:rPr>
          <w:rFonts w:hint="cs"/>
          <w:b w:val="0"/>
          <w:bCs w:val="0"/>
          <w:rtl/>
          <w:lang w:val="en-GB"/>
        </w:rPr>
        <w:t>دراسات قطاع الاتصالات الراديوية إلى أن محطات الهواة يمكن أن تُسبب تداخلاً مع الخدمات الثابتة أو</w:t>
      </w:r>
      <w:r w:rsidR="00641313">
        <w:rPr>
          <w:rFonts w:hint="eastAsia"/>
          <w:b w:val="0"/>
          <w:bCs w:val="0"/>
          <w:rtl/>
          <w:lang w:val="en-GB"/>
        </w:rPr>
        <w:t> </w:t>
      </w:r>
      <w:r w:rsidR="00351B6B" w:rsidRPr="00351B6B">
        <w:rPr>
          <w:rFonts w:hint="cs"/>
          <w:b w:val="0"/>
          <w:bCs w:val="0"/>
          <w:rtl/>
          <w:lang w:val="en-GB"/>
        </w:rPr>
        <w:t>المتنقلة</w:t>
      </w:r>
      <w:r w:rsidR="008A3694">
        <w:rPr>
          <w:rFonts w:hint="cs"/>
          <w:b w:val="0"/>
          <w:bCs w:val="0"/>
          <w:rtl/>
          <w:lang w:val="en-GB"/>
        </w:rPr>
        <w:t>.</w:t>
      </w:r>
    </w:p>
    <w:p w:rsidR="00551139" w:rsidRDefault="005649B8">
      <w:pPr>
        <w:pStyle w:val="Proposal"/>
      </w:pPr>
      <w:r>
        <w:t>SUP</w:t>
      </w:r>
      <w:r>
        <w:tab/>
        <w:t>THA/34A4/2</w:t>
      </w:r>
    </w:p>
    <w:p w:rsidR="00156D4B" w:rsidRPr="00C9435B" w:rsidRDefault="005649B8" w:rsidP="00641313">
      <w:pPr>
        <w:pStyle w:val="ResNo"/>
        <w:keepLines/>
        <w:rPr>
          <w:rtl/>
          <w:lang w:bidi="ar-SA"/>
        </w:rPr>
      </w:pPr>
      <w:bookmarkStart w:id="3" w:name="_Toc327956733"/>
      <w:r>
        <w:rPr>
          <w:rFonts w:hint="cs"/>
          <w:rtl/>
        </w:rPr>
        <w:t>القـرار</w:t>
      </w:r>
      <w:r w:rsidR="008A3694">
        <w:rPr>
          <w:rFonts w:hint="cs"/>
          <w:rtl/>
        </w:rPr>
        <w:t xml:space="preserve"> </w:t>
      </w:r>
      <w:r w:rsidR="00641313">
        <w:t>649 </w:t>
      </w:r>
      <w:r w:rsidRPr="00AB31CC">
        <w:t>(WRC</w:t>
      </w:r>
      <w:r>
        <w:noBreakHyphen/>
      </w:r>
      <w:r w:rsidRPr="00AB31CC">
        <w:t>12)</w:t>
      </w:r>
      <w:bookmarkEnd w:id="3"/>
    </w:p>
    <w:p w:rsidR="00156D4B" w:rsidRPr="00C76619" w:rsidRDefault="005649B8" w:rsidP="00641313">
      <w:pPr>
        <w:pStyle w:val="Restitle"/>
        <w:keepLines/>
        <w:rPr>
          <w:caps/>
          <w:rtl/>
          <w:lang w:bidi="ar-EG"/>
        </w:rPr>
      </w:pPr>
      <w:bookmarkStart w:id="4" w:name="_Toc327956734"/>
      <w:r>
        <w:rPr>
          <w:rFonts w:hint="cs"/>
          <w:caps/>
          <w:rtl/>
          <w:lang w:bidi="ar-EG"/>
        </w:rPr>
        <w:t>إمكانية منح توزيع لخدمة الهواة على أساس ثانوي</w:t>
      </w:r>
      <w:r w:rsidR="00D92A8F">
        <w:rPr>
          <w:caps/>
          <w:rtl/>
          <w:lang w:bidi="ar-EG"/>
        </w:rPr>
        <w:br/>
      </w:r>
      <w:r>
        <w:rPr>
          <w:rFonts w:hint="cs"/>
          <w:caps/>
          <w:rtl/>
          <w:lang w:bidi="ar-EG"/>
        </w:rPr>
        <w:t xml:space="preserve">عند حوالي </w:t>
      </w:r>
      <w:r w:rsidRPr="00A43A77">
        <w:t>kHz</w:t>
      </w:r>
      <w:r>
        <w:t> 5 300</w:t>
      </w:r>
      <w:bookmarkEnd w:id="4"/>
    </w:p>
    <w:p w:rsidR="00551139" w:rsidRDefault="005649B8" w:rsidP="008A3694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8A3694">
        <w:rPr>
          <w:rFonts w:hint="cs"/>
          <w:b w:val="0"/>
          <w:bCs w:val="0"/>
          <w:rtl/>
        </w:rPr>
        <w:t>لم يعد هذا القرار لازما</w:t>
      </w:r>
      <w:r w:rsidR="00D92A8F">
        <w:rPr>
          <w:rFonts w:hint="cs"/>
          <w:b w:val="0"/>
          <w:bCs w:val="0"/>
          <w:rtl/>
          <w:lang w:bidi="ar-EG"/>
        </w:rPr>
        <w:t>ً</w:t>
      </w:r>
      <w:r w:rsidR="008A3694">
        <w:rPr>
          <w:rFonts w:hint="cs"/>
          <w:b w:val="0"/>
          <w:bCs w:val="0"/>
          <w:rtl/>
        </w:rPr>
        <w:t>.</w:t>
      </w:r>
    </w:p>
    <w:p w:rsidR="00B7290A" w:rsidRPr="00B7290A" w:rsidRDefault="00B7290A" w:rsidP="00B7290A">
      <w:pPr>
        <w:pStyle w:val="Reasons"/>
        <w:rPr>
          <w:rtl/>
        </w:rPr>
      </w:pPr>
      <w:bookmarkStart w:id="5" w:name="_GoBack"/>
      <w:bookmarkEnd w:id="5"/>
    </w:p>
    <w:p w:rsidR="00A1645C" w:rsidRPr="00A1645C" w:rsidRDefault="00A1645C" w:rsidP="00A1645C">
      <w:pPr>
        <w:spacing w:before="600"/>
        <w:jc w:val="center"/>
      </w:pPr>
      <w:r>
        <w:rPr>
          <w:rtl/>
        </w:rPr>
        <w:t>___________</w:t>
      </w:r>
    </w:p>
    <w:sectPr w:rsidR="00A1645C" w:rsidRPr="00A1645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B8" w:rsidRPr="005649B8" w:rsidRDefault="005649B8" w:rsidP="005649B8">
    <w:pPr>
      <w:pStyle w:val="Footer"/>
    </w:pPr>
    <w:r>
      <w:fldChar w:fldCharType="begin"/>
    </w:r>
    <w:r w:rsidRPr="005649B8">
      <w:instrText xml:space="preserve"> FILENAME \p \* MERGEFORMAT </w:instrText>
    </w:r>
    <w:r>
      <w:fldChar w:fldCharType="separate"/>
    </w:r>
    <w:r w:rsidRPr="005649B8">
      <w:rPr>
        <w:noProof/>
      </w:rPr>
      <w:t>P:\TRAD\A\ITU-R\CONF-R\CMR15\000\034ADD04REV1A.docx</w:t>
    </w:r>
    <w:r>
      <w:fldChar w:fldCharType="end"/>
    </w:r>
    <w:r w:rsidRPr="005649B8">
      <w:t xml:space="preserve">   (</w:t>
    </w:r>
    <w:r>
      <w:t>388420</w:t>
    </w:r>
    <w:r w:rsidRPr="005649B8">
      <w:t>)</w:t>
    </w:r>
    <w:r w:rsidRPr="005649B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7290A">
      <w:rPr>
        <w:noProof/>
      </w:rPr>
      <w:t>26.10.15</w:t>
    </w:r>
    <w:r w:rsidRPr="00B12661">
      <w:fldChar w:fldCharType="end"/>
    </w:r>
    <w:r w:rsidRPr="005649B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649B8" w:rsidRDefault="00281F5F" w:rsidP="005649B8">
    <w:pPr>
      <w:pStyle w:val="Footer"/>
    </w:pPr>
    <w:r>
      <w:fldChar w:fldCharType="begin"/>
    </w:r>
    <w:r w:rsidRPr="005649B8">
      <w:instrText xml:space="preserve"> FILENAME \p \* MERGEFORMAT </w:instrText>
    </w:r>
    <w:r>
      <w:fldChar w:fldCharType="separate"/>
    </w:r>
    <w:r w:rsidR="005649B8" w:rsidRPr="005649B8">
      <w:rPr>
        <w:noProof/>
      </w:rPr>
      <w:t>P:\TRAD\A\ITU-R\CONF-R\CMR15\000\034ADD04REV1A.docx</w:t>
    </w:r>
    <w:r>
      <w:fldChar w:fldCharType="end"/>
    </w:r>
    <w:r w:rsidRPr="005649B8">
      <w:t xml:space="preserve">   (</w:t>
    </w:r>
    <w:r w:rsidR="005649B8">
      <w:t>388420</w:t>
    </w:r>
    <w:r w:rsidRPr="005649B8">
      <w:t>)</w:t>
    </w:r>
    <w:r w:rsidRPr="005649B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7290A">
      <w:rPr>
        <w:noProof/>
      </w:rPr>
      <w:t>26.10.15</w:t>
    </w:r>
    <w:r w:rsidRPr="00B12661">
      <w:fldChar w:fldCharType="end"/>
    </w:r>
    <w:r w:rsidRPr="005649B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649B8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7290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34(Add.4)(Rev.1)-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D45E4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2950"/>
    <w:rsid w:val="002D141A"/>
    <w:rsid w:val="002D5F64"/>
    <w:rsid w:val="002D6FBF"/>
    <w:rsid w:val="002E48BF"/>
    <w:rsid w:val="002E61C2"/>
    <w:rsid w:val="0033737F"/>
    <w:rsid w:val="00351B6B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1139"/>
    <w:rsid w:val="00553411"/>
    <w:rsid w:val="00554AE7"/>
    <w:rsid w:val="00564746"/>
    <w:rsid w:val="005649B8"/>
    <w:rsid w:val="0056512C"/>
    <w:rsid w:val="00576D0A"/>
    <w:rsid w:val="00576FCC"/>
    <w:rsid w:val="00584333"/>
    <w:rsid w:val="005900EE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032E"/>
    <w:rsid w:val="00641313"/>
    <w:rsid w:val="00651343"/>
    <w:rsid w:val="0065562F"/>
    <w:rsid w:val="006628D3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37293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56EC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3694"/>
    <w:rsid w:val="008A4185"/>
    <w:rsid w:val="008A48AF"/>
    <w:rsid w:val="008A6552"/>
    <w:rsid w:val="008B4E93"/>
    <w:rsid w:val="008C5BCB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1645C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796"/>
    <w:rsid w:val="00B66817"/>
    <w:rsid w:val="00B71E3B"/>
    <w:rsid w:val="00B721D5"/>
    <w:rsid w:val="00B7290A"/>
    <w:rsid w:val="00B81CB5"/>
    <w:rsid w:val="00B8351F"/>
    <w:rsid w:val="00B86C44"/>
    <w:rsid w:val="00B9727C"/>
    <w:rsid w:val="00BA610A"/>
    <w:rsid w:val="00BA7D44"/>
    <w:rsid w:val="00BD6EF3"/>
    <w:rsid w:val="00BE69C3"/>
    <w:rsid w:val="00BF7744"/>
    <w:rsid w:val="00C1165E"/>
    <w:rsid w:val="00C22074"/>
    <w:rsid w:val="00C23652"/>
    <w:rsid w:val="00C2377B"/>
    <w:rsid w:val="00C3693C"/>
    <w:rsid w:val="00C53F6F"/>
    <w:rsid w:val="00C544F0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08F"/>
    <w:rsid w:val="00D535D0"/>
    <w:rsid w:val="00D62C78"/>
    <w:rsid w:val="00D81703"/>
    <w:rsid w:val="00D82929"/>
    <w:rsid w:val="00D84214"/>
    <w:rsid w:val="00D92A8F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0D26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5D32618-4C55-459F-836D-8405F65E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R15-WRC15-C-0034!A4-R1!MSW-A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C8BF3-2A6A-40A7-820D-261A3234BDAB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91C0A7-C407-4A6D-8E8E-B697FDEE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1744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R15-WRC15-C-0034!A4-R1!MSW-A</vt:lpstr>
    </vt:vector>
  </TitlesOfParts>
  <Manager>General Secretariat - Pool</Manager>
  <Company>International Telecommunication Union (ITU)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R15-WRC15-C-0034!A4-R1!MSW-A</dc:title>
  <dc:creator>Documents Proposals Manager (DPM)</dc:creator>
  <cp:keywords>DPM_v5.2015.10.15_prod</cp:keywords>
  <cp:lastModifiedBy>Awad, Samy</cp:lastModifiedBy>
  <cp:revision>7</cp:revision>
  <cp:lastPrinted>2011-11-07T13:53:00Z</cp:lastPrinted>
  <dcterms:created xsi:type="dcterms:W3CDTF">2015-10-26T14:42:00Z</dcterms:created>
  <dcterms:modified xsi:type="dcterms:W3CDTF">2015-10-26T16:31:00Z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