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D22D2B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D22D2B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D22D2B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D22D2B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D22D2B" w:rsidRDefault="003E1608" w:rsidP="00D22D2B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22D2B">
              <w:rPr>
                <w:rFonts w:ascii="Verdana" w:hAnsi="Verdana"/>
                <w:rtl/>
              </w:rPr>
              <w:t xml:space="preserve">الإضافة </w:t>
            </w:r>
            <w:r w:rsidRPr="00D22D2B">
              <w:rPr>
                <w:rFonts w:ascii="Verdana" w:hAnsi="Verdana"/>
              </w:rPr>
              <w:t>2</w:t>
            </w:r>
            <w:r w:rsidRPr="00D22D2B">
              <w:rPr>
                <w:rFonts w:ascii="Verdana" w:hAnsi="Verdana"/>
              </w:rPr>
              <w:br/>
            </w:r>
            <w:r w:rsidRPr="00D22D2B">
              <w:rPr>
                <w:rFonts w:ascii="Verdana" w:hAnsi="Verdana"/>
                <w:rtl/>
              </w:rPr>
              <w:t xml:space="preserve">للوثيقة </w:t>
            </w:r>
            <w:r w:rsidRPr="00D22D2B">
              <w:rPr>
                <w:rFonts w:ascii="Verdana" w:hAnsi="Verdana"/>
              </w:rPr>
              <w:t>32(Add.9)</w:t>
            </w:r>
            <w:r w:rsidR="00D22D2B">
              <w:rPr>
                <w:rFonts w:ascii="Verdana" w:hAnsi="Verdana"/>
              </w:rPr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D22D2B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D22D2B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22D2B">
              <w:rPr>
                <w:rFonts w:ascii="Verdana" w:eastAsia="SimSun" w:hAnsi="Verdana"/>
              </w:rPr>
              <w:t>29</w:t>
            </w:r>
            <w:r w:rsidRPr="00D22D2B">
              <w:rPr>
                <w:rFonts w:ascii="Verdana" w:eastAsia="SimSun" w:hAnsi="Verdana"/>
                <w:rtl/>
              </w:rPr>
              <w:t xml:space="preserve"> سبتمبر </w:t>
            </w:r>
            <w:r w:rsidRPr="00D22D2B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D22D2B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D22D2B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D22D2B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D22D2B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22D2B" w:rsidP="00484016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484016">
              <w:rPr>
                <w:rFonts w:hint="cs"/>
                <w:rtl/>
              </w:rPr>
              <w:t>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8401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84016">
              <w:t>2.9.1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A5080D" w:rsidP="00484016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Default="00A5080D" w:rsidP="001D597A">
      <w:pPr>
        <w:rPr>
          <w:rFonts w:eastAsia="SimSun"/>
          <w:rtl/>
        </w:rPr>
      </w:pPr>
      <w:r w:rsidRPr="00431196">
        <w:rPr>
          <w:rFonts w:eastAsia="SimSun"/>
        </w:rPr>
        <w:t>2.9.1</w:t>
      </w:r>
      <w:r w:rsidRPr="00431196">
        <w:rPr>
          <w:rFonts w:eastAsia="SimSun" w:hint="cs"/>
          <w:rtl/>
        </w:rPr>
        <w:tab/>
        <w:t xml:space="preserve">إمكانية توزيع النطاقين </w:t>
      </w:r>
      <w:r w:rsidRPr="00431196">
        <w:rPr>
          <w:rFonts w:eastAsia="SimSun"/>
        </w:rPr>
        <w:t>MHz 7 750</w:t>
      </w:r>
      <w:r w:rsidRPr="00431196">
        <w:rPr>
          <w:rFonts w:eastAsia="SimSun"/>
        </w:rPr>
        <w:noBreakHyphen/>
        <w:t>7 375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</w:rPr>
        <w:t>MHz 8 400</w:t>
      </w:r>
      <w:r w:rsidRPr="00431196">
        <w:rPr>
          <w:rFonts w:eastAsia="SimSun"/>
        </w:rPr>
        <w:noBreakHyphen/>
        <w:t>8 025</w:t>
      </w:r>
      <w:r w:rsidRPr="00431196">
        <w:rPr>
          <w:rFonts w:eastAsia="SimSun" w:hint="cs"/>
          <w:rtl/>
        </w:rPr>
        <w:t xml:space="preserve"> للخدمة المتنقلة البحرية الساتلية والتدابير التنظيمية الإضافية حسب نتائج الدراسات ذات الصلة؛</w:t>
      </w:r>
    </w:p>
    <w:p w:rsidR="008C1B47" w:rsidRPr="00431196" w:rsidRDefault="008C1B47" w:rsidP="001D597A">
      <w:pPr>
        <w:rPr>
          <w:rFonts w:eastAsia="SimSun"/>
          <w:rtl/>
        </w:rPr>
      </w:pPr>
    </w:p>
    <w:p w:rsidR="00F16602" w:rsidRDefault="00D22D2B" w:rsidP="00D22D2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D22D2B" w:rsidRDefault="00B62FAD" w:rsidP="00484016">
      <w:pPr>
        <w:rPr>
          <w:lang w:bidi="ar-EG"/>
        </w:rPr>
      </w:pPr>
      <w:r>
        <w:rPr>
          <w:rFonts w:hint="cs"/>
          <w:rtl/>
        </w:rPr>
        <w:t>يعترض</w:t>
      </w:r>
      <w:r w:rsidR="00267A45">
        <w:rPr>
          <w:rFonts w:hint="cs"/>
          <w:rtl/>
        </w:rPr>
        <w:t xml:space="preserve"> أعضاء جماع</w:t>
      </w:r>
      <w:r>
        <w:rPr>
          <w:rFonts w:hint="cs"/>
          <w:rtl/>
        </w:rPr>
        <w:t>ة آسيا والمحيط الهادئ على التوزيع الجديد للخدمة المتنقلة البحرية الساتلية (أرض-فضاء) في</w:t>
      </w:r>
      <w:r w:rsidR="00484016">
        <w:rPr>
          <w:rFonts w:hint="eastAsia"/>
          <w:rtl/>
        </w:rPr>
        <w:t> </w:t>
      </w:r>
      <w:r>
        <w:rPr>
          <w:rFonts w:hint="cs"/>
          <w:rtl/>
        </w:rPr>
        <w:t>النطاق</w:t>
      </w:r>
      <w:r w:rsidR="00484016">
        <w:rPr>
          <w:rFonts w:hint="eastAsia"/>
          <w:rtl/>
        </w:rPr>
        <w:t> </w:t>
      </w:r>
      <w:r>
        <w:t>MHz 8 400</w:t>
      </w:r>
      <w:r w:rsidR="00484016">
        <w:noBreakHyphen/>
      </w:r>
      <w:r>
        <w:t>8 025</w:t>
      </w:r>
      <w:r>
        <w:rPr>
          <w:rFonts w:hint="cs"/>
          <w:rtl/>
          <w:lang w:bidi="ar-EG"/>
        </w:rPr>
        <w:t>. وإضافة</w:t>
      </w:r>
      <w:r w:rsidR="00CB58CB">
        <w:rPr>
          <w:rFonts w:hint="cs"/>
          <w:rtl/>
        </w:rPr>
        <w:t>ً</w:t>
      </w:r>
      <w:r>
        <w:rPr>
          <w:rFonts w:hint="cs"/>
          <w:rtl/>
          <w:lang w:bidi="ar-EG"/>
        </w:rPr>
        <w:t xml:space="preserve"> إلى ذلك، يُقترح إلغاء القرار </w:t>
      </w:r>
      <w:r w:rsidRPr="00422D2E">
        <w:rPr>
          <w:bCs/>
          <w:lang w:eastAsia="ko-KR"/>
        </w:rPr>
        <w:t>758</w:t>
      </w:r>
      <w:r w:rsidR="00484016">
        <w:rPr>
          <w:bCs/>
          <w:lang w:eastAsia="ko-KR"/>
        </w:rPr>
        <w:t> </w:t>
      </w:r>
      <w:r w:rsidRPr="00422D2E">
        <w:rPr>
          <w:bCs/>
          <w:lang w:eastAsia="ko-KR"/>
        </w:rPr>
        <w:t>(WRC</w:t>
      </w:r>
      <w:r w:rsidR="00484016">
        <w:rPr>
          <w:bCs/>
          <w:lang w:eastAsia="ko-KR"/>
        </w:rPr>
        <w:noBreakHyphen/>
      </w:r>
      <w:r w:rsidRPr="00422D2E">
        <w:rPr>
          <w:bCs/>
          <w:lang w:eastAsia="ko-KR"/>
        </w:rPr>
        <w:t>12)</w:t>
      </w:r>
      <w:r>
        <w:rPr>
          <w:rFonts w:hint="cs"/>
          <w:rtl/>
          <w:lang w:bidi="ar-EG"/>
        </w:rPr>
        <w:t>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A5080D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A5080D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A5080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2D1A7F" w:rsidRDefault="00A5080D">
      <w:pPr>
        <w:pStyle w:val="Proposal"/>
      </w:pPr>
      <w:r>
        <w:rPr>
          <w:u w:val="single"/>
        </w:rPr>
        <w:t>NOC</w:t>
      </w:r>
      <w:r>
        <w:tab/>
        <w:t>ASP/32A9A2/1</w:t>
      </w:r>
    </w:p>
    <w:p w:rsidR="009F37C9" w:rsidRDefault="00A5080D">
      <w:pPr>
        <w:pStyle w:val="Tabletitle"/>
        <w:rPr>
          <w:rtl/>
        </w:rPr>
        <w:pPrChange w:id="2" w:author="El Wardany, Samy" w:date="2011-08-01T14:42:00Z">
          <w:pPr/>
        </w:pPrChange>
      </w:pPr>
      <w:r>
        <w:t>MHz 8 500-7 250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475D0D" w:rsidTr="00475D0D">
        <w:trPr>
          <w:cantSplit/>
        </w:trPr>
        <w:tc>
          <w:tcPr>
            <w:tcW w:w="9356" w:type="dxa"/>
            <w:gridSpan w:val="3"/>
          </w:tcPr>
          <w:p w:rsidR="00475D0D" w:rsidRDefault="00A5080D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475D0D" w:rsidTr="00475D0D">
        <w:trPr>
          <w:cantSplit/>
        </w:trPr>
        <w:tc>
          <w:tcPr>
            <w:tcW w:w="3119" w:type="dxa"/>
          </w:tcPr>
          <w:p w:rsidR="00475D0D" w:rsidRDefault="00A5080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</w:tcPr>
          <w:p w:rsidR="00475D0D" w:rsidRDefault="00A5080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</w:tcPr>
          <w:p w:rsidR="00475D0D" w:rsidRDefault="00A5080D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D426BA" w:rsidTr="00475D0D">
        <w:trPr>
          <w:cantSplit/>
        </w:trPr>
        <w:tc>
          <w:tcPr>
            <w:tcW w:w="9356" w:type="dxa"/>
            <w:gridSpan w:val="3"/>
          </w:tcPr>
          <w:p w:rsidR="00D426BA" w:rsidRPr="00D426BA" w:rsidRDefault="00D426BA" w:rsidP="00D426BA">
            <w:pPr>
              <w:pStyle w:val="TabletextS5"/>
              <w:rPr>
                <w:rFonts w:hAnsi="Times New Roman Bold"/>
              </w:rPr>
            </w:pPr>
            <w:r w:rsidRPr="00D426BA">
              <w:rPr>
                <w:rStyle w:val="Tablefreq"/>
                <w:b w:val="0"/>
                <w:bCs w:val="0"/>
              </w:rPr>
              <w:t>8 175-8 025</w:t>
            </w:r>
            <w:r w:rsidRPr="00D426BA">
              <w:rPr>
                <w:rFonts w:hAnsi="Times New Roman Bold"/>
              </w:rPr>
              <w:tab/>
            </w:r>
            <w:r w:rsidRPr="00D426BA">
              <w:rPr>
                <w:b/>
                <w:bCs/>
                <w:rtl/>
              </w:rPr>
              <w:t>استكشاف الأرض الساتلية</w:t>
            </w:r>
            <w:r w:rsidRPr="00D426BA">
              <w:rPr>
                <w:rFonts w:hAnsi="Times New Roman Bold"/>
                <w:rtl/>
              </w:rPr>
              <w:t xml:space="preserve"> (فضاء-أرض)</w:t>
            </w:r>
          </w:p>
          <w:p w:rsidR="00D426BA" w:rsidRPr="00D426BA" w:rsidRDefault="00D426BA" w:rsidP="00D426BA">
            <w:pPr>
              <w:pStyle w:val="TabletextS5"/>
              <w:rPr>
                <w:rFonts w:hAnsi="Times New Roman Bold"/>
                <w:b/>
                <w:bCs/>
              </w:rPr>
            </w:pPr>
            <w:r>
              <w:rPr>
                <w:rFonts w:hAnsi="Times New Roman Bold"/>
              </w:rPr>
              <w:tab/>
            </w:r>
            <w:r w:rsidRPr="00D426BA">
              <w:rPr>
                <w:rFonts w:hAnsi="Times New Roman Bold"/>
                <w:b/>
                <w:bCs/>
                <w:rtl/>
              </w:rPr>
              <w:t>ثابتة</w:t>
            </w:r>
          </w:p>
          <w:p w:rsidR="00D426BA" w:rsidRPr="00D426BA" w:rsidRDefault="00D426BA" w:rsidP="00D426BA">
            <w:pPr>
              <w:pStyle w:val="TabletextS5"/>
              <w:rPr>
                <w:rFonts w:hAnsi="Times New Roman Bold"/>
              </w:rPr>
            </w:pPr>
            <w:r>
              <w:rPr>
                <w:rFonts w:hAnsi="Times New Roman Bold"/>
              </w:rPr>
              <w:tab/>
            </w:r>
            <w:r w:rsidRPr="00D426BA">
              <w:rPr>
                <w:rFonts w:hAnsi="Times New Roman Bold"/>
                <w:b/>
                <w:bCs/>
                <w:rtl/>
              </w:rPr>
              <w:t>ثابتة ساتلية</w:t>
            </w:r>
            <w:r w:rsidRPr="00D426BA">
              <w:rPr>
                <w:rFonts w:hAnsi="Times New Roman Bold"/>
                <w:rtl/>
              </w:rPr>
              <w:t xml:space="preserve"> (أرض-فضاء)</w:t>
            </w:r>
          </w:p>
          <w:p w:rsidR="00D426BA" w:rsidRPr="00D426BA" w:rsidRDefault="00D426BA" w:rsidP="00D426BA">
            <w:pPr>
              <w:pStyle w:val="TabletextS5"/>
              <w:rPr>
                <w:rFonts w:hAnsi="Times New Roman Bold"/>
              </w:rPr>
            </w:pPr>
            <w:r>
              <w:rPr>
                <w:rFonts w:hAnsi="Times New Roman Bold"/>
              </w:rPr>
              <w:tab/>
            </w:r>
            <w:r w:rsidRPr="00D426BA">
              <w:rPr>
                <w:rFonts w:hAnsi="Times New Roman Bold"/>
                <w:rtl/>
              </w:rPr>
              <w:t xml:space="preserve">متنقلة </w:t>
            </w:r>
            <w:r w:rsidRPr="00D426BA">
              <w:rPr>
                <w:rFonts w:hAnsi="Times New Roman Bold"/>
              </w:rPr>
              <w:t xml:space="preserve"> </w:t>
            </w:r>
            <w:r w:rsidRPr="00D426BA">
              <w:rPr>
                <w:rStyle w:val="Artref"/>
                <w:b w:val="0"/>
                <w:bCs w:val="0"/>
              </w:rPr>
              <w:t>463.5</w:t>
            </w:r>
          </w:p>
          <w:p w:rsidR="00D426BA" w:rsidRPr="00D426BA" w:rsidRDefault="00D426BA" w:rsidP="00D426BA">
            <w:pPr>
              <w:pStyle w:val="TabletextS5"/>
              <w:rPr>
                <w:rStyle w:val="Artref"/>
                <w:b w:val="0"/>
                <w:bCs w:val="0"/>
              </w:rPr>
            </w:pPr>
            <w:r w:rsidRPr="00D426BA">
              <w:rPr>
                <w:rFonts w:hAnsi="Times New Roman Bold"/>
                <w:sz w:val="22"/>
                <w:szCs w:val="30"/>
              </w:rPr>
              <w:tab/>
            </w:r>
            <w:r w:rsidRPr="00D426BA">
              <w:rPr>
                <w:rStyle w:val="Artref"/>
                <w:b w:val="0"/>
                <w:bCs w:val="0"/>
              </w:rPr>
              <w:t>462A.5</w:t>
            </w:r>
          </w:p>
        </w:tc>
      </w:tr>
      <w:tr w:rsidR="00475D0D" w:rsidTr="00475D0D">
        <w:trPr>
          <w:cantSplit/>
        </w:trPr>
        <w:tc>
          <w:tcPr>
            <w:tcW w:w="9356" w:type="dxa"/>
            <w:gridSpan w:val="3"/>
          </w:tcPr>
          <w:p w:rsidR="00475D0D" w:rsidRDefault="00A5080D" w:rsidP="005F1F1C">
            <w:pPr>
              <w:pStyle w:val="TabletextS5"/>
            </w:pPr>
            <w:r w:rsidRPr="0048256A">
              <w:rPr>
                <w:rStyle w:val="Tablefreq"/>
              </w:rPr>
              <w:t>8 215-8 175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(فضاء-أرض)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أرصاد جوية ساتلية</w:t>
            </w:r>
            <w:r>
              <w:rPr>
                <w:rtl/>
              </w:rPr>
              <w:t xml:space="preserve"> (أرض-فضاء)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 xml:space="preserve">متنقلة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426BA">
              <w:rPr>
                <w:rStyle w:val="Artref"/>
                <w:b w:val="0"/>
                <w:bCs w:val="0"/>
              </w:rPr>
              <w:t>463.5</w:t>
            </w:r>
          </w:p>
          <w:p w:rsidR="00475D0D" w:rsidRPr="00D426BA" w:rsidRDefault="00A5080D" w:rsidP="00A5080D">
            <w:pPr>
              <w:pStyle w:val="TabletextS5"/>
              <w:rPr>
                <w:rStyle w:val="Artref"/>
                <w:b w:val="0"/>
                <w:bCs w:val="0"/>
              </w:rPr>
            </w:pPr>
            <w:r>
              <w:tab/>
            </w:r>
            <w:r w:rsidRPr="00D426BA">
              <w:rPr>
                <w:rStyle w:val="Artref"/>
                <w:b w:val="0"/>
                <w:bCs w:val="0"/>
              </w:rPr>
              <w:t>462A.5</w:t>
            </w:r>
          </w:p>
        </w:tc>
      </w:tr>
      <w:tr w:rsidR="00475D0D" w:rsidTr="00475D0D">
        <w:trPr>
          <w:cantSplit/>
        </w:trPr>
        <w:tc>
          <w:tcPr>
            <w:tcW w:w="9356" w:type="dxa"/>
            <w:gridSpan w:val="3"/>
          </w:tcPr>
          <w:p w:rsidR="00475D0D" w:rsidRDefault="00A5080D" w:rsidP="00A5080D">
            <w:pPr>
              <w:pStyle w:val="TabletextS5"/>
              <w:rPr>
                <w:b/>
                <w:bCs/>
              </w:rPr>
            </w:pPr>
            <w:r w:rsidRPr="0048256A">
              <w:rPr>
                <w:rStyle w:val="Tablefreq"/>
              </w:rPr>
              <w:t>8 400-8 215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(فضاء-أرض)</w:t>
            </w:r>
          </w:p>
          <w:p w:rsidR="00475D0D" w:rsidRDefault="00A5080D" w:rsidP="00A5080D">
            <w:pPr>
              <w:pStyle w:val="TabletextS5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</w:p>
          <w:p w:rsidR="00475D0D" w:rsidRDefault="00A5080D" w:rsidP="00A5080D">
            <w:pPr>
              <w:pStyle w:val="TabletextS5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  <w:r w:rsidRPr="00D426BA">
              <w:rPr>
                <w:rFonts w:hint="cs"/>
                <w:rtl/>
              </w:rPr>
              <w:t xml:space="preserve"> </w:t>
            </w:r>
            <w:r w:rsidRPr="00D426BA">
              <w:rPr>
                <w:rtl/>
              </w:rPr>
              <w:t xml:space="preserve"> </w:t>
            </w:r>
            <w:r w:rsidRPr="00D426BA">
              <w:rPr>
                <w:rStyle w:val="Artref"/>
                <w:b w:val="0"/>
                <w:bCs w:val="0"/>
              </w:rPr>
              <w:t>463.5</w:t>
            </w:r>
          </w:p>
          <w:p w:rsidR="00475D0D" w:rsidRPr="00D426BA" w:rsidRDefault="00A5080D" w:rsidP="00A5080D">
            <w:pPr>
              <w:pStyle w:val="TabletextS5"/>
              <w:rPr>
                <w:rStyle w:val="Artref"/>
                <w:b w:val="0"/>
                <w:bCs w:val="0"/>
              </w:rPr>
            </w:pPr>
            <w:r>
              <w:tab/>
            </w:r>
            <w:r w:rsidRPr="00D426BA">
              <w:rPr>
                <w:rStyle w:val="Artref"/>
                <w:b w:val="0"/>
                <w:bCs w:val="0"/>
              </w:rPr>
              <w:t>462A.5</w:t>
            </w:r>
          </w:p>
        </w:tc>
      </w:tr>
    </w:tbl>
    <w:p w:rsidR="00D22D2B" w:rsidRPr="00D22D2B" w:rsidRDefault="00A5080D" w:rsidP="008C1B47">
      <w:pPr>
        <w:pStyle w:val="Reasons"/>
        <w:rPr>
          <w:lang w:bidi="ar-EG"/>
        </w:rPr>
      </w:pPr>
      <w:r>
        <w:rPr>
          <w:rtl/>
        </w:rPr>
        <w:t>الأسباب:</w:t>
      </w:r>
      <w:r>
        <w:tab/>
      </w:r>
      <w:r w:rsidR="005B1A74">
        <w:rPr>
          <w:rFonts w:hint="cs"/>
          <w:b w:val="0"/>
          <w:bCs w:val="0"/>
          <w:rtl/>
          <w:lang w:bidi="ar-EG"/>
        </w:rPr>
        <w:t>أخذاً بعين الاعتبار نتائج دراسات التقاسم التي أجراها قطاع الاتصالات الراديوية، فإن</w:t>
      </w:r>
      <w:r w:rsidR="005B1A74">
        <w:rPr>
          <w:rFonts w:hint="cs"/>
          <w:b w:val="0"/>
          <w:bCs w:val="0"/>
          <w:rtl/>
        </w:rPr>
        <w:t xml:space="preserve"> </w:t>
      </w:r>
      <w:r w:rsidR="00426A32">
        <w:rPr>
          <w:rFonts w:hint="cs"/>
          <w:b w:val="0"/>
          <w:bCs w:val="0"/>
          <w:rtl/>
        </w:rPr>
        <w:t xml:space="preserve">الخدمات الحالية </w:t>
      </w:r>
      <w:r w:rsidR="005B1A74">
        <w:rPr>
          <w:rFonts w:hint="cs"/>
          <w:b w:val="0"/>
          <w:bCs w:val="0"/>
          <w:rtl/>
        </w:rPr>
        <w:t>لا</w:t>
      </w:r>
      <w:r w:rsidR="008C1B47">
        <w:rPr>
          <w:rFonts w:hint="eastAsia"/>
          <w:b w:val="0"/>
          <w:bCs w:val="0"/>
          <w:rtl/>
        </w:rPr>
        <w:t> </w:t>
      </w:r>
      <w:bookmarkStart w:id="3" w:name="_GoBack"/>
      <w:bookmarkEnd w:id="3"/>
      <w:r w:rsidR="005B1A74">
        <w:rPr>
          <w:rFonts w:hint="cs"/>
          <w:b w:val="0"/>
          <w:bCs w:val="0"/>
          <w:rtl/>
        </w:rPr>
        <w:t xml:space="preserve">تتمتع </w:t>
      </w:r>
      <w:r w:rsidR="00426A32">
        <w:rPr>
          <w:rFonts w:hint="cs"/>
          <w:b w:val="0"/>
          <w:bCs w:val="0"/>
          <w:rtl/>
        </w:rPr>
        <w:t>بحماية تامة من التداخل الناجم عن الخدمة المتنقلة البحرية الساتلية</w:t>
      </w:r>
      <w:r w:rsidR="00426A32">
        <w:rPr>
          <w:rFonts w:hint="cs"/>
          <w:b w:val="0"/>
          <w:bCs w:val="0"/>
          <w:rtl/>
          <w:lang w:bidi="ar-EG"/>
        </w:rPr>
        <w:t xml:space="preserve"> (أرض-فضاء) في النطاق </w:t>
      </w:r>
      <w:r w:rsidR="00426A32">
        <w:rPr>
          <w:b w:val="0"/>
          <w:bCs w:val="0"/>
          <w:lang w:bidi="ar-EG"/>
        </w:rPr>
        <w:t>MHz 8 400-8 025</w:t>
      </w:r>
      <w:r w:rsidR="00426A32">
        <w:rPr>
          <w:rFonts w:hint="cs"/>
          <w:b w:val="0"/>
          <w:bCs w:val="0"/>
          <w:rtl/>
          <w:lang w:bidi="ar-EG"/>
        </w:rPr>
        <w:t>.</w:t>
      </w:r>
    </w:p>
    <w:p w:rsidR="002D1A7F" w:rsidRDefault="00A5080D">
      <w:pPr>
        <w:pStyle w:val="Proposal"/>
      </w:pPr>
      <w:r>
        <w:t>SUP</w:t>
      </w:r>
      <w:r>
        <w:tab/>
        <w:t>ASP/32A9A2/2</w:t>
      </w:r>
    </w:p>
    <w:p w:rsidR="00D053B6" w:rsidRPr="00F555FE" w:rsidRDefault="00A5080D" w:rsidP="00D053B6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4" w:name="_Toc327956783"/>
      <w:r w:rsidRPr="00F555FE">
        <w:rPr>
          <w:rFonts w:hint="cs"/>
          <w:rtl/>
        </w:rPr>
        <w:t xml:space="preserve">القـرار </w:t>
      </w:r>
      <w:r w:rsidRPr="00A21FE4">
        <w:rPr>
          <w:rStyle w:val="href"/>
        </w:rPr>
        <w:t>758</w:t>
      </w:r>
      <w:r w:rsidRPr="00F555FE">
        <w:t xml:space="preserve"> (WRC</w:t>
      </w:r>
      <w:r w:rsidRPr="00F555FE">
        <w:noBreakHyphen/>
        <w:t>12)</w:t>
      </w:r>
      <w:bookmarkEnd w:id="4"/>
    </w:p>
    <w:p w:rsidR="00D053B6" w:rsidRDefault="00A5080D" w:rsidP="00332847">
      <w:pPr>
        <w:pStyle w:val="Restitle"/>
        <w:spacing w:line="185" w:lineRule="auto"/>
        <w:rPr>
          <w:rtl/>
        </w:rPr>
      </w:pPr>
      <w:bookmarkStart w:id="5" w:name="_Toc327956784"/>
      <w:r>
        <w:rPr>
          <w:rFonts w:hint="cs"/>
          <w:rtl/>
        </w:rPr>
        <w:t xml:space="preserve">التوزيعات للخدمة الثابتة الساتلية </w:t>
      </w:r>
      <w:r>
        <w:rPr>
          <w:rtl/>
        </w:rPr>
        <w:br/>
      </w:r>
      <w:r>
        <w:rPr>
          <w:rFonts w:hint="cs"/>
          <w:rtl/>
        </w:rPr>
        <w:t xml:space="preserve">والخدمة المتنقلة البحرية الساتلية في المدى </w:t>
      </w:r>
      <w:r>
        <w:t>GHz 8/7</w:t>
      </w:r>
      <w:bookmarkEnd w:id="5"/>
    </w:p>
    <w:p w:rsidR="002D1A7F" w:rsidRDefault="00A5080D" w:rsidP="005B1A74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5B1A74">
        <w:rPr>
          <w:rFonts w:hint="cs"/>
          <w:b w:val="0"/>
          <w:bCs w:val="0"/>
          <w:rtl/>
        </w:rPr>
        <w:t>لم تعد هناك حاجة إلى مزيد من النظر و/أو الدراسة.</w:t>
      </w:r>
    </w:p>
    <w:p w:rsidR="008C1B47" w:rsidRPr="008C1B47" w:rsidRDefault="008C1B47" w:rsidP="008C1B47">
      <w:pPr>
        <w:pStyle w:val="Reasons"/>
        <w:rPr>
          <w:rtl/>
          <w:lang w:bidi="ar-EG"/>
        </w:rPr>
      </w:pPr>
    </w:p>
    <w:p w:rsidR="00D22D2B" w:rsidRPr="00D22D2B" w:rsidRDefault="00E51B39" w:rsidP="00E51B39">
      <w:pPr>
        <w:tabs>
          <w:tab w:val="left" w:pos="3695"/>
          <w:tab w:val="center" w:pos="4819"/>
        </w:tabs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22D2B" w:rsidRPr="00D22D2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22D2B" w:rsidRDefault="00281F5F" w:rsidP="00D22D2B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D22D2B">
      <w:instrText xml:space="preserve"> FILENAME \p \* MERGEFORMAT </w:instrText>
    </w:r>
    <w:r w:rsidRPr="00CB4300">
      <w:fldChar w:fldCharType="separate"/>
    </w:r>
    <w:r w:rsidR="00484016">
      <w:rPr>
        <w:noProof/>
      </w:rPr>
      <w:t>P:\ARA\ITU-R\CONF-R\CMR15\000\032ADD09ADD02A.docx</w:t>
    </w:r>
    <w:r w:rsidRPr="00CB4300">
      <w:fldChar w:fldCharType="end"/>
    </w:r>
    <w:r w:rsidRPr="00D22D2B">
      <w:t xml:space="preserve">  (</w:t>
    </w:r>
    <w:r w:rsidR="00D22D2B">
      <w:rPr>
        <w:rFonts w:hint="cs"/>
        <w:rtl/>
        <w:lang w:val="es-ES"/>
      </w:rPr>
      <w:t>387307</w:t>
    </w:r>
    <w:r w:rsidRPr="00D22D2B">
      <w:t>)</w:t>
    </w:r>
    <w:r w:rsidRPr="00D22D2B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8C1B47">
      <w:rPr>
        <w:noProof/>
      </w:rPr>
      <w:t>27.10.15</w:t>
    </w:r>
    <w:r w:rsidRPr="00CB4300">
      <w:fldChar w:fldCharType="end"/>
    </w:r>
    <w:r w:rsidRPr="00D22D2B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484016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22D2B" w:rsidRDefault="00281F5F" w:rsidP="00484016">
    <w:pPr>
      <w:pStyle w:val="Footer"/>
      <w:tabs>
        <w:tab w:val="clear" w:pos="5812"/>
        <w:tab w:val="left" w:pos="6379"/>
      </w:tabs>
    </w:pPr>
    <w:r>
      <w:fldChar w:fldCharType="begin"/>
    </w:r>
    <w:r w:rsidRPr="00D22D2B">
      <w:instrText xml:space="preserve"> FILENAME \p \* MERGEFORMAT </w:instrText>
    </w:r>
    <w:r>
      <w:fldChar w:fldCharType="separate"/>
    </w:r>
    <w:r w:rsidR="00484016">
      <w:rPr>
        <w:noProof/>
      </w:rPr>
      <w:t>P:\ARA\ITU-R\CONF-R\CMR15\000\032ADD09ADD02A.docx</w:t>
    </w:r>
    <w:r>
      <w:fldChar w:fldCharType="end"/>
    </w:r>
    <w:r w:rsidRPr="00D22D2B">
      <w:t xml:space="preserve">   (</w:t>
    </w:r>
    <w:r w:rsidR="00484016">
      <w:t>387307</w:t>
    </w:r>
    <w:r w:rsidRPr="00D22D2B">
      <w:t>)</w:t>
    </w:r>
    <w:r w:rsidRPr="00D22D2B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C1B47">
      <w:rPr>
        <w:noProof/>
      </w:rPr>
      <w:t>27.10.15</w:t>
    </w:r>
    <w:r w:rsidRPr="00B12661">
      <w:fldChar w:fldCharType="end"/>
    </w:r>
    <w:r w:rsidRPr="00D22D2B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84016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8C1B4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32(Add.9)(Add.2)-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67A45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1A7F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26A32"/>
    <w:rsid w:val="004418B1"/>
    <w:rsid w:val="00461FA7"/>
    <w:rsid w:val="00470CBD"/>
    <w:rsid w:val="0047407D"/>
    <w:rsid w:val="00484016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1A74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7785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C1B47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080D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5730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2FAD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58CB"/>
    <w:rsid w:val="00CC030E"/>
    <w:rsid w:val="00CC57D0"/>
    <w:rsid w:val="00CC68C4"/>
    <w:rsid w:val="00CC79A4"/>
    <w:rsid w:val="00CD0FDE"/>
    <w:rsid w:val="00CE0E68"/>
    <w:rsid w:val="00CE5BA4"/>
    <w:rsid w:val="00D22D2B"/>
    <w:rsid w:val="00D25120"/>
    <w:rsid w:val="00D419CB"/>
    <w:rsid w:val="00D426BA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39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B32728C7-D4F1-43B5-85A0-05A81BDB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B080D-8E7D-48E0-911A-F9A213FA811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purl.org/dc/terms/"/>
    <ds:schemaRef ds:uri="996b2e75-67fd-4955-a3b0-5ab9934cb50b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6CE7D7-35A9-43C0-843F-47682999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259</Words>
  <Characters>1369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R15-WRC15-C-0032!A9-A2!MSW-A</vt:lpstr>
    </vt:vector>
  </TitlesOfParts>
  <Manager>General Secretariat - Pool</Manager>
  <Company>International Telecommunication Union (ITU)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R15-WRC15-C-0032!A9-A2!MSW-A</dc:title>
  <dc:creator>Documents Proposals Manager (DPM)</dc:creator>
  <cp:keywords>DPM_v5.2015.9.16_prod</cp:keywords>
  <cp:lastModifiedBy>Awad, Samy</cp:lastModifiedBy>
  <cp:revision>7</cp:revision>
  <cp:lastPrinted>2011-11-07T13:53:00Z</cp:lastPrinted>
  <dcterms:created xsi:type="dcterms:W3CDTF">2015-10-23T17:23:00Z</dcterms:created>
  <dcterms:modified xsi:type="dcterms:W3CDTF">2015-10-28T00:42:00Z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