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85582" w:rsidRDefault="003E1608" w:rsidP="002E567C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02DA9">
              <w:rPr>
                <w:rFonts w:ascii="Verdana" w:hAnsi="Verdana"/>
                <w:rtl/>
              </w:rPr>
              <w:t>الإضافة</w:t>
            </w:r>
            <w:r w:rsidRPr="00285582">
              <w:rPr>
                <w:rFonts w:ascii="Verdana" w:hAnsi="Verdana"/>
                <w:rtl/>
              </w:rPr>
              <w:t xml:space="preserve"> </w:t>
            </w:r>
            <w:r w:rsidRPr="00285582">
              <w:rPr>
                <w:rFonts w:ascii="Verdana" w:hAnsi="Verdana"/>
              </w:rPr>
              <w:t>1</w:t>
            </w:r>
            <w:r w:rsidRPr="00285582">
              <w:rPr>
                <w:rFonts w:ascii="Verdana" w:hAnsi="Verdana"/>
              </w:rPr>
              <w:br/>
            </w:r>
            <w:r w:rsidRPr="00285582">
              <w:rPr>
                <w:rFonts w:ascii="Verdana" w:hAnsi="Verdana"/>
                <w:rtl/>
              </w:rPr>
              <w:t xml:space="preserve">للوثيقة </w:t>
            </w:r>
            <w:r w:rsidR="00285582">
              <w:rPr>
                <w:rFonts w:ascii="Verdana" w:hAnsi="Verdana"/>
              </w:rPr>
              <w:t>32(Add.9)-A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8558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85582">
              <w:rPr>
                <w:rFonts w:ascii="Verdana" w:eastAsia="SimSun" w:hAnsi="Verdana"/>
              </w:rPr>
              <w:t>29</w:t>
            </w:r>
            <w:r w:rsidRPr="00285582">
              <w:rPr>
                <w:rFonts w:ascii="Verdana" w:eastAsia="SimSun" w:hAnsi="Verdana"/>
                <w:rtl/>
              </w:rPr>
              <w:t xml:space="preserve"> سبتمبر </w:t>
            </w:r>
            <w:r w:rsidRPr="00285582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8558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285582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AF6731" w:rsidRDefault="00AF673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مشتركة بشأن أعمال ال</w:t>
            </w:r>
            <w:r w:rsidR="002E567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744C09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8558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85582">
              <w:rPr>
                <w:lang w:val="en-US"/>
              </w:rPr>
              <w:t>1.9.1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744C09" w:rsidP="002E567C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Pr="00431196" w:rsidRDefault="00744C09" w:rsidP="001D597A">
      <w:pPr>
        <w:rPr>
          <w:rFonts w:eastAsia="SimSun"/>
          <w:rtl/>
        </w:rPr>
      </w:pPr>
      <w:r w:rsidRPr="00431196">
        <w:rPr>
          <w:rFonts w:eastAsia="SimSun"/>
        </w:rPr>
        <w:t>1.9.1</w:t>
      </w:r>
      <w:r w:rsidRPr="00431196">
        <w:rPr>
          <w:rFonts w:eastAsia="SimSun" w:hint="cs"/>
          <w:rtl/>
        </w:rPr>
        <w:tab/>
        <w:t xml:space="preserve">إمكانية منح توزيعات جديدة للخدمة الثابتة الساتلية في نطاقي الترددات </w:t>
      </w:r>
      <w:r w:rsidRPr="00431196">
        <w:rPr>
          <w:rFonts w:eastAsia="SimSun"/>
        </w:rPr>
        <w:t>MHz 7 250</w:t>
      </w:r>
      <w:r w:rsidRPr="00431196">
        <w:rPr>
          <w:rFonts w:eastAsia="SimSun"/>
        </w:rPr>
        <w:noBreakHyphen/>
        <w:t>7 150</w:t>
      </w:r>
      <w:r w:rsidRPr="00431196">
        <w:rPr>
          <w:rFonts w:eastAsia="SimSun" w:hint="cs"/>
          <w:rtl/>
        </w:rPr>
        <w:t xml:space="preserve"> (فضاء-أرض) و</w:t>
      </w:r>
      <w:r w:rsidRPr="00431196">
        <w:rPr>
          <w:rFonts w:eastAsia="SimSun"/>
        </w:rPr>
        <w:t>MHz 8 500</w:t>
      </w:r>
      <w:r w:rsidRPr="00431196">
        <w:rPr>
          <w:rFonts w:eastAsia="SimSun"/>
        </w:rPr>
        <w:noBreakHyphen/>
        <w:t>8 400</w:t>
      </w:r>
      <w:r w:rsidRPr="00431196">
        <w:rPr>
          <w:rFonts w:eastAsia="SimSun" w:hint="cs"/>
          <w:rtl/>
        </w:rPr>
        <w:t xml:space="preserve"> (أرض-فضاء) رهناً بشروط التقاسم المناسبة؛</w:t>
      </w:r>
    </w:p>
    <w:p w:rsidR="00F16602" w:rsidRDefault="00E02DA9" w:rsidP="00E02DA9">
      <w:pPr>
        <w:pStyle w:val="Headingb"/>
      </w:pPr>
      <w:r>
        <w:rPr>
          <w:rFonts w:hint="cs"/>
          <w:rtl/>
        </w:rPr>
        <w:t>مقدمة</w:t>
      </w:r>
    </w:p>
    <w:p w:rsidR="00E02DA9" w:rsidRDefault="009B2CFB" w:rsidP="00115E1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يؤيد أعضاء جماعة آسيا والمحيط الهادئ للاتصالات الأسلوب </w:t>
      </w:r>
      <w:r w:rsidR="00115E1B">
        <w:rPr>
          <w:lang w:bidi="ar-EG"/>
        </w:rPr>
        <w:t>C</w:t>
      </w:r>
      <w:r>
        <w:rPr>
          <w:rFonts w:hint="cs"/>
          <w:rtl/>
          <w:lang w:bidi="ar-EG"/>
        </w:rPr>
        <w:t xml:space="preserve"> الوارد في تقرير الاجتماع التحضيري للمؤتمر العالمي للاتصالات الراديوية لعام </w:t>
      </w:r>
      <w:r>
        <w:rPr>
          <w:lang w:bidi="ar-EG"/>
        </w:rPr>
        <w:t>2015</w:t>
      </w:r>
      <w:r>
        <w:rPr>
          <w:rFonts w:hint="cs"/>
          <w:rtl/>
          <w:lang w:bidi="ar-EG"/>
        </w:rPr>
        <w:t>، ويقضي هذا الأسلوب بعدم إدخال تعديلات على لوائح الراديو فيما يتعلق ب</w:t>
      </w:r>
      <w:r w:rsidR="00E02DA9" w:rsidRPr="00723265">
        <w:rPr>
          <w:rFonts w:hint="cs"/>
          <w:rtl/>
        </w:rPr>
        <w:t>إمكانية منح توزيعات جديدة للخدمة الثابتة الساتلية في نطاقي الترددات</w:t>
      </w:r>
      <w:r w:rsidR="00E02DA9">
        <w:rPr>
          <w:rFonts w:hint="eastAsia"/>
          <w:rtl/>
        </w:rPr>
        <w:t> </w:t>
      </w:r>
      <w:r w:rsidR="00E02DA9" w:rsidRPr="00723265">
        <w:rPr>
          <w:lang w:bidi="ar-SY"/>
        </w:rPr>
        <w:t>MHz 7 250</w:t>
      </w:r>
      <w:r w:rsidR="00E02DA9" w:rsidRPr="00723265">
        <w:rPr>
          <w:lang w:bidi="ar-SY"/>
        </w:rPr>
        <w:noBreakHyphen/>
        <w:t>7 150</w:t>
      </w:r>
      <w:r w:rsidR="00E02DA9" w:rsidRPr="00723265">
        <w:rPr>
          <w:rFonts w:hint="cs"/>
          <w:rtl/>
        </w:rPr>
        <w:t xml:space="preserve"> (فضاء-أرض) و</w:t>
      </w:r>
      <w:r w:rsidR="00E02DA9" w:rsidRPr="00723265">
        <w:rPr>
          <w:lang w:bidi="ar-SY"/>
        </w:rPr>
        <w:t>MHz 8 500</w:t>
      </w:r>
      <w:r w:rsidR="00E02DA9" w:rsidRPr="00723265">
        <w:rPr>
          <w:lang w:bidi="ar-SY"/>
        </w:rPr>
        <w:noBreakHyphen/>
        <w:t>8 400</w:t>
      </w:r>
      <w:r w:rsidR="00E02DA9" w:rsidRPr="00723265">
        <w:rPr>
          <w:rFonts w:hint="cs"/>
          <w:rtl/>
        </w:rPr>
        <w:t xml:space="preserve"> (أرض-فضاء) </w:t>
      </w:r>
      <w:r w:rsidRPr="00431196">
        <w:rPr>
          <w:rFonts w:eastAsia="SimSun" w:hint="cs"/>
          <w:rtl/>
        </w:rPr>
        <w:t xml:space="preserve">وفقاً للقرار </w:t>
      </w:r>
      <w:r w:rsidRPr="00115E1B">
        <w:rPr>
          <w:rFonts w:eastAsia="SimSun"/>
        </w:rPr>
        <w:t>758 (WRC</w:t>
      </w:r>
      <w:r w:rsidRPr="00115E1B">
        <w:rPr>
          <w:rFonts w:eastAsia="SimSun"/>
        </w:rPr>
        <w:noBreakHyphen/>
        <w:t>12)</w:t>
      </w:r>
      <w:r w:rsidRPr="00115E1B">
        <w:rPr>
          <w:rFonts w:eastAsia="SimSun" w:hint="cs"/>
          <w:rtl/>
        </w:rPr>
        <w:t>.</w:t>
      </w:r>
    </w:p>
    <w:p w:rsidR="00E02DA9" w:rsidRDefault="009B2CFB" w:rsidP="00E02DA9">
      <w:pPr>
        <w:pStyle w:val="Headingb"/>
        <w:rPr>
          <w:rtl/>
        </w:rPr>
      </w:pPr>
      <w:r>
        <w:rPr>
          <w:rFonts w:hint="cs"/>
          <w:rtl/>
        </w:rPr>
        <w:t>ال</w:t>
      </w:r>
      <w:r w:rsidR="00E02DA9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744C09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744C09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744C09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5643CA" w:rsidRDefault="00744C09">
      <w:pPr>
        <w:pStyle w:val="Proposal"/>
      </w:pPr>
      <w:r>
        <w:rPr>
          <w:u w:val="single"/>
        </w:rPr>
        <w:t>NOC</w:t>
      </w:r>
      <w:r>
        <w:tab/>
        <w:t>ASP/32A9A1/1</w:t>
      </w:r>
    </w:p>
    <w:p w:rsidR="009F37C9" w:rsidRPr="00115E1B" w:rsidRDefault="00744C09">
      <w:pPr>
        <w:pStyle w:val="Tabletitle"/>
        <w:rPr>
          <w:sz w:val="20"/>
          <w:szCs w:val="28"/>
          <w:rtl/>
        </w:rPr>
        <w:pPrChange w:id="2" w:author="El Wardany, Samy" w:date="2011-08-01T14:42:00Z">
          <w:pPr/>
        </w:pPrChange>
      </w:pPr>
      <w:r w:rsidRPr="00115E1B">
        <w:rPr>
          <w:sz w:val="20"/>
          <w:szCs w:val="28"/>
        </w:rPr>
        <w:t>MHz 7 250-5 570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EB34B5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Default="00744C09" w:rsidP="00EB34B5">
            <w:pPr>
              <w:pStyle w:val="Tablehead"/>
              <w:keepNext/>
              <w:keepLines/>
            </w:pPr>
            <w:r>
              <w:rPr>
                <w:rtl/>
              </w:rPr>
              <w:t>التوزيع على الخدمات</w:t>
            </w:r>
          </w:p>
        </w:tc>
      </w:tr>
      <w:tr w:rsidR="00EB34B5" w:rsidTr="00B87AF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Default="00744C09" w:rsidP="00EB34B5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Default="00744C09" w:rsidP="00EB34B5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Default="00744C09" w:rsidP="00EB34B5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EB34B5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Pr="00CA21F5" w:rsidRDefault="00744C09" w:rsidP="00115E1B">
            <w:pPr>
              <w:pStyle w:val="TabletextS5"/>
            </w:pPr>
            <w:r w:rsidRPr="00FA3B95">
              <w:rPr>
                <w:rStyle w:val="Tablefreq"/>
              </w:rPr>
              <w:t>7 235-7 145</w:t>
            </w:r>
            <w:r>
              <w:tab/>
            </w:r>
            <w:r w:rsidRPr="00115E1B">
              <w:rPr>
                <w:b/>
                <w:bCs/>
                <w:rtl/>
              </w:rPr>
              <w:t>ثابتة</w:t>
            </w:r>
          </w:p>
          <w:p w:rsidR="00EB34B5" w:rsidRPr="00115E1B" w:rsidRDefault="00744C09" w:rsidP="00115E1B">
            <w:pPr>
              <w:pStyle w:val="TabletextS5"/>
              <w:rPr>
                <w:b/>
                <w:bCs/>
                <w:rtl/>
              </w:rPr>
            </w:pPr>
            <w:r w:rsidRPr="00CA21F5">
              <w:tab/>
            </w:r>
            <w:r w:rsidRPr="00115E1B">
              <w:rPr>
                <w:b/>
                <w:bCs/>
                <w:rtl/>
              </w:rPr>
              <w:t>متنقلة</w:t>
            </w:r>
          </w:p>
          <w:p w:rsidR="00EB34B5" w:rsidRPr="00CA21F5" w:rsidRDefault="00744C09" w:rsidP="00115E1B">
            <w:pPr>
              <w:pStyle w:val="TabletextS5"/>
            </w:pPr>
            <w:r w:rsidRPr="00CA21F5">
              <w:rPr>
                <w:rtl/>
              </w:rPr>
              <w:tab/>
            </w:r>
            <w:r w:rsidRPr="00115E1B">
              <w:rPr>
                <w:b/>
                <w:bCs/>
                <w:rtl/>
              </w:rPr>
              <w:t>أبحاث فضائية</w:t>
            </w:r>
            <w:r w:rsidRPr="00CA21F5">
              <w:rPr>
                <w:rtl/>
              </w:rPr>
              <w:t xml:space="preserve"> (أرض-فضاء)</w:t>
            </w:r>
            <w:r w:rsidRPr="00CA21F5">
              <w:rPr>
                <w:rStyle w:val="Artref"/>
                <w:b w:val="0"/>
                <w:bCs w:val="0"/>
              </w:rPr>
              <w:t>460.5</w:t>
            </w:r>
            <w:r w:rsidRPr="00CA21F5">
              <w:rPr>
                <w:rStyle w:val="Artref"/>
              </w:rPr>
              <w:t xml:space="preserve">  </w:t>
            </w:r>
          </w:p>
          <w:p w:rsidR="00EB34B5" w:rsidRPr="00CA21F5" w:rsidRDefault="00744C09" w:rsidP="00115E1B">
            <w:pPr>
              <w:pStyle w:val="TabletextS5"/>
              <w:rPr>
                <w:rStyle w:val="Tablefreq"/>
                <w:b w:val="0"/>
                <w:bCs w:val="0"/>
              </w:rPr>
            </w:pPr>
            <w:r w:rsidRPr="00CA21F5">
              <w:tab/>
            </w:r>
            <w:r w:rsidRPr="00CA21F5">
              <w:rPr>
                <w:rStyle w:val="Artref"/>
                <w:b w:val="0"/>
                <w:bCs w:val="0"/>
              </w:rPr>
              <w:t>458.5</w:t>
            </w:r>
            <w:r w:rsidRPr="00CA21F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A21F5">
              <w:rPr>
                <w:rStyle w:val="Artref"/>
                <w:b w:val="0"/>
                <w:bCs w:val="0"/>
              </w:rPr>
              <w:t>459.5</w:t>
            </w:r>
          </w:p>
        </w:tc>
      </w:tr>
      <w:tr w:rsidR="00EB34B5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Pr="00CA21F5" w:rsidRDefault="00744C09" w:rsidP="00115E1B">
            <w:pPr>
              <w:pStyle w:val="TabletextS5"/>
            </w:pPr>
            <w:r w:rsidRPr="00FA3B95">
              <w:rPr>
                <w:rStyle w:val="Tablefreq"/>
              </w:rPr>
              <w:t>7 250-7 235</w:t>
            </w:r>
            <w:r>
              <w:tab/>
            </w:r>
            <w:r w:rsidRPr="00115E1B">
              <w:rPr>
                <w:b/>
                <w:bCs/>
                <w:rtl/>
              </w:rPr>
              <w:t>ثابتة</w:t>
            </w:r>
          </w:p>
          <w:p w:rsidR="00EB34B5" w:rsidRPr="00115E1B" w:rsidRDefault="00744C09" w:rsidP="00115E1B">
            <w:pPr>
              <w:pStyle w:val="TabletextS5"/>
              <w:rPr>
                <w:b/>
                <w:bCs/>
              </w:rPr>
            </w:pPr>
            <w:r w:rsidRPr="00CA21F5">
              <w:tab/>
            </w:r>
            <w:r w:rsidRPr="00115E1B">
              <w:rPr>
                <w:b/>
                <w:bCs/>
                <w:rtl/>
              </w:rPr>
              <w:t>متنقلة</w:t>
            </w:r>
          </w:p>
          <w:p w:rsidR="00EB34B5" w:rsidRPr="00CA21F5" w:rsidRDefault="00744C09" w:rsidP="00115E1B">
            <w:pPr>
              <w:pStyle w:val="TabletextS5"/>
              <w:rPr>
                <w:rStyle w:val="Tablefreq"/>
                <w:b w:val="0"/>
              </w:rPr>
            </w:pPr>
            <w:r w:rsidRPr="00CA21F5">
              <w:tab/>
            </w:r>
            <w:r w:rsidRPr="00CA21F5">
              <w:rPr>
                <w:rStyle w:val="Artref"/>
                <w:b w:val="0"/>
              </w:rPr>
              <w:t>458.5</w:t>
            </w:r>
          </w:p>
        </w:tc>
      </w:tr>
    </w:tbl>
    <w:p w:rsidR="005643CA" w:rsidRDefault="00744C09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E02DA9" w:rsidRPr="00E02DA9">
        <w:rPr>
          <w:rFonts w:hint="cs"/>
          <w:b w:val="0"/>
          <w:bCs w:val="0"/>
          <w:rtl/>
          <w:lang w:bidi="ar-EG"/>
        </w:rPr>
        <w:t>لا تغيير</w:t>
      </w:r>
      <w:r w:rsidR="00E02DA9">
        <w:rPr>
          <w:rFonts w:hint="cs"/>
          <w:b w:val="0"/>
          <w:bCs w:val="0"/>
          <w:rtl/>
          <w:lang w:bidi="ar-EG"/>
        </w:rPr>
        <w:t>.</w:t>
      </w:r>
    </w:p>
    <w:p w:rsidR="005643CA" w:rsidRDefault="00744C09">
      <w:pPr>
        <w:pStyle w:val="Proposal"/>
      </w:pPr>
      <w:r>
        <w:rPr>
          <w:u w:val="single"/>
        </w:rPr>
        <w:t>NOC</w:t>
      </w:r>
      <w:r>
        <w:tab/>
        <w:t>ASP/32A9A1/2</w:t>
      </w:r>
    </w:p>
    <w:p w:rsidR="009F37C9" w:rsidRPr="00115E1B" w:rsidRDefault="00744C09">
      <w:pPr>
        <w:pStyle w:val="Tabletitle"/>
        <w:rPr>
          <w:sz w:val="20"/>
          <w:szCs w:val="28"/>
          <w:rtl/>
        </w:rPr>
        <w:pPrChange w:id="3" w:author="El Wardany, Samy" w:date="2011-08-01T14:42:00Z">
          <w:pPr/>
        </w:pPrChange>
      </w:pPr>
      <w:r w:rsidRPr="00115E1B">
        <w:rPr>
          <w:sz w:val="20"/>
          <w:szCs w:val="28"/>
        </w:rPr>
        <w:t>MHz 8 500-7 250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475D0D" w:rsidTr="00475D0D">
        <w:trPr>
          <w:cantSplit/>
        </w:trPr>
        <w:tc>
          <w:tcPr>
            <w:tcW w:w="9356" w:type="dxa"/>
            <w:gridSpan w:val="3"/>
          </w:tcPr>
          <w:p w:rsidR="00475D0D" w:rsidRDefault="00744C09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475D0D" w:rsidTr="00475D0D">
        <w:trPr>
          <w:cantSplit/>
        </w:trPr>
        <w:tc>
          <w:tcPr>
            <w:tcW w:w="3119" w:type="dxa"/>
          </w:tcPr>
          <w:p w:rsidR="00475D0D" w:rsidRDefault="00744C09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</w:tcPr>
          <w:p w:rsidR="00475D0D" w:rsidRDefault="00744C09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</w:tcPr>
          <w:p w:rsidR="00475D0D" w:rsidRDefault="00744C09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475D0D" w:rsidTr="00475D0D">
        <w:trPr>
          <w:cantSplit/>
        </w:trPr>
        <w:tc>
          <w:tcPr>
            <w:tcW w:w="9356" w:type="dxa"/>
            <w:gridSpan w:val="3"/>
          </w:tcPr>
          <w:p w:rsidR="00475D0D" w:rsidRDefault="00744C09" w:rsidP="00115E1B">
            <w:pPr>
              <w:pStyle w:val="TabletextS5"/>
              <w:rPr>
                <w:rFonts w:hint="cs"/>
                <w:rtl/>
              </w:rPr>
            </w:pPr>
            <w:r w:rsidRPr="0048256A">
              <w:rPr>
                <w:rStyle w:val="Tablefreq"/>
              </w:rPr>
              <w:t>8 500-8 400</w:t>
            </w:r>
            <w:r>
              <w:tab/>
            </w:r>
            <w:r w:rsidRPr="00115E1B">
              <w:rPr>
                <w:b/>
                <w:bCs/>
                <w:rtl/>
              </w:rPr>
              <w:t>ثابتة</w:t>
            </w:r>
          </w:p>
          <w:p w:rsidR="00475D0D" w:rsidRDefault="00744C09" w:rsidP="00115E1B">
            <w:pPr>
              <w:pStyle w:val="TabletextS5"/>
            </w:pPr>
            <w:r>
              <w:tab/>
            </w:r>
            <w:r w:rsidRPr="00115E1B">
              <w:rPr>
                <w:b/>
                <w:bCs/>
                <w:rtl/>
                <w:lang w:val="fr-CH"/>
              </w:rPr>
              <w:t>متنقلة</w:t>
            </w:r>
            <w:r>
              <w:rPr>
                <w:rtl/>
              </w:rPr>
              <w:t xml:space="preserve"> </w:t>
            </w:r>
            <w:r>
              <w:rPr>
                <w:rtl/>
                <w:lang w:val="fr-CH"/>
              </w:rPr>
              <w:t>باستثناء</w:t>
            </w:r>
            <w:r>
              <w:rPr>
                <w:rtl/>
              </w:rPr>
              <w:t xml:space="preserve"> </w:t>
            </w:r>
            <w:r>
              <w:rPr>
                <w:rtl/>
                <w:lang w:val="fr-CH"/>
              </w:rPr>
              <w:t>المتنقلة</w:t>
            </w:r>
            <w:r>
              <w:rPr>
                <w:rtl/>
              </w:rPr>
              <w:t xml:space="preserve"> </w:t>
            </w:r>
            <w:r>
              <w:rPr>
                <w:rtl/>
                <w:lang w:val="fr-CH"/>
              </w:rPr>
              <w:t>للطيران</w:t>
            </w:r>
          </w:p>
          <w:p w:rsidR="00475D0D" w:rsidRDefault="00744C09" w:rsidP="00115E1B">
            <w:pPr>
              <w:pStyle w:val="TabletextS5"/>
              <w:rPr>
                <w:rtl/>
              </w:rPr>
            </w:pPr>
            <w:r>
              <w:tab/>
            </w:r>
            <w:r w:rsidRPr="00115E1B"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(فضاء-أرض)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t>465.5</w:t>
            </w:r>
            <w:r>
              <w:rPr>
                <w:rtl/>
              </w:rPr>
              <w:t xml:space="preserve">  </w:t>
            </w:r>
            <w:r>
              <w:t>466.5</w:t>
            </w:r>
          </w:p>
        </w:tc>
      </w:tr>
    </w:tbl>
    <w:p w:rsidR="005643CA" w:rsidRDefault="00744C09">
      <w:pPr>
        <w:pStyle w:val="Reasons"/>
      </w:pPr>
      <w:r>
        <w:rPr>
          <w:rtl/>
        </w:rPr>
        <w:t>الأسباب:</w:t>
      </w:r>
      <w:r>
        <w:tab/>
      </w:r>
      <w:r w:rsidR="00E02DA9" w:rsidRPr="00E02DA9">
        <w:rPr>
          <w:rFonts w:hint="cs"/>
          <w:b w:val="0"/>
          <w:bCs w:val="0"/>
          <w:rtl/>
          <w:lang w:bidi="ar-EG"/>
        </w:rPr>
        <w:t>لا تغيير</w:t>
      </w:r>
      <w:r w:rsidR="00E02DA9">
        <w:rPr>
          <w:rFonts w:hint="cs"/>
          <w:b w:val="0"/>
          <w:bCs w:val="0"/>
          <w:rtl/>
          <w:lang w:bidi="ar-EG"/>
        </w:rPr>
        <w:t>.</w:t>
      </w:r>
    </w:p>
    <w:p w:rsidR="005643CA" w:rsidRDefault="00744C09">
      <w:pPr>
        <w:pStyle w:val="Proposal"/>
      </w:pPr>
      <w:r>
        <w:t>SUP</w:t>
      </w:r>
      <w:r>
        <w:tab/>
        <w:t>ASP/32A9A1/3</w:t>
      </w:r>
    </w:p>
    <w:p w:rsidR="00D053B6" w:rsidRPr="00F555FE" w:rsidRDefault="00744C09" w:rsidP="00790BDB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4" w:name="_Toc327956783"/>
      <w:r w:rsidRPr="00F555FE">
        <w:rPr>
          <w:rFonts w:hint="cs"/>
          <w:rtl/>
        </w:rPr>
        <w:t xml:space="preserve">القـرار </w:t>
      </w:r>
      <w:r w:rsidRPr="00A21FE4">
        <w:rPr>
          <w:rStyle w:val="href"/>
        </w:rPr>
        <w:t>758</w:t>
      </w:r>
      <w:r w:rsidR="00790BDB">
        <w:t> </w:t>
      </w:r>
      <w:r w:rsidRPr="00F555FE">
        <w:t>(WRC</w:t>
      </w:r>
      <w:r w:rsidRPr="00F555FE">
        <w:noBreakHyphen/>
        <w:t>12)</w:t>
      </w:r>
      <w:bookmarkEnd w:id="4"/>
    </w:p>
    <w:p w:rsidR="00D053B6" w:rsidRDefault="00744C09" w:rsidP="00115E1B">
      <w:pPr>
        <w:pStyle w:val="Restitle"/>
        <w:spacing w:line="185" w:lineRule="auto"/>
        <w:rPr>
          <w:rtl/>
        </w:rPr>
      </w:pPr>
      <w:bookmarkStart w:id="5" w:name="_Toc327956784"/>
      <w:r>
        <w:rPr>
          <w:rFonts w:hint="cs"/>
          <w:rtl/>
        </w:rPr>
        <w:t xml:space="preserve">التوزيعات للخدمة الثابتة الساتلية </w:t>
      </w:r>
      <w:r w:rsidR="00115E1B">
        <w:rPr>
          <w:rFonts w:hint="cs"/>
          <w:rtl/>
        </w:rPr>
        <w:t>والخدمة المتنقلة البحرية الساتلية</w:t>
      </w:r>
      <w:r>
        <w:rPr>
          <w:rtl/>
        </w:rPr>
        <w:br/>
      </w:r>
      <w:r>
        <w:rPr>
          <w:rFonts w:hint="cs"/>
          <w:rtl/>
        </w:rPr>
        <w:t xml:space="preserve">في المدى </w:t>
      </w:r>
      <w:r>
        <w:t>GHz 8/7</w:t>
      </w:r>
      <w:bookmarkEnd w:id="5"/>
    </w:p>
    <w:p w:rsidR="005643CA" w:rsidRDefault="00744C09" w:rsidP="009B2CFB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E02DA9">
        <w:rPr>
          <w:rFonts w:hint="cs"/>
          <w:b w:val="0"/>
          <w:bCs w:val="0"/>
          <w:rtl/>
        </w:rPr>
        <w:t xml:space="preserve">لم يعد </w:t>
      </w:r>
      <w:r w:rsidR="009B2CFB">
        <w:rPr>
          <w:rFonts w:hint="cs"/>
          <w:b w:val="0"/>
          <w:bCs w:val="0"/>
          <w:rtl/>
        </w:rPr>
        <w:t>القرار مطلوباً</w:t>
      </w:r>
      <w:r w:rsidR="00E02DA9">
        <w:rPr>
          <w:rFonts w:hint="cs"/>
          <w:b w:val="0"/>
          <w:bCs w:val="0"/>
          <w:rtl/>
        </w:rPr>
        <w:t>.</w:t>
      </w:r>
    </w:p>
    <w:p w:rsidR="00115E1B" w:rsidRDefault="00115E1B" w:rsidP="00115E1B">
      <w:pPr>
        <w:rPr>
          <w:lang w:bidi="ar-EG"/>
        </w:rPr>
      </w:pPr>
    </w:p>
    <w:p w:rsidR="00790BDB" w:rsidRPr="00115E1B" w:rsidRDefault="00790BDB" w:rsidP="00790BDB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___________</w:t>
      </w:r>
      <w:bookmarkStart w:id="6" w:name="_GoBack"/>
      <w:bookmarkEnd w:id="6"/>
    </w:p>
    <w:sectPr w:rsidR="00790BDB" w:rsidRPr="00115E1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02DA9" w:rsidRDefault="00281F5F" w:rsidP="00E02DA9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E02DA9">
      <w:instrText xml:space="preserve"> FILENAME \p \* MERGEFORMAT </w:instrText>
    </w:r>
    <w:r w:rsidRPr="00CB4300">
      <w:fldChar w:fldCharType="separate"/>
    </w:r>
    <w:r w:rsidR="00087423">
      <w:rPr>
        <w:noProof/>
      </w:rPr>
      <w:t>P:\ARA\ITU-R\CONF-R\CMR15\000\032ADD09ADD01A.docx</w:t>
    </w:r>
    <w:r w:rsidRPr="00CB4300">
      <w:fldChar w:fldCharType="end"/>
    </w:r>
    <w:r w:rsidRPr="00E02DA9">
      <w:t xml:space="preserve">  (</w:t>
    </w:r>
    <w:r w:rsidR="00E02DA9">
      <w:rPr>
        <w:rFonts w:hint="cs"/>
        <w:rtl/>
      </w:rPr>
      <w:t>387305</w:t>
    </w:r>
    <w:r w:rsidRPr="00E02DA9">
      <w:t>)</w:t>
    </w:r>
    <w:r w:rsidRPr="00E02DA9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E567C">
      <w:rPr>
        <w:noProof/>
      </w:rPr>
      <w:t>14.10.15</w:t>
    </w:r>
    <w:r w:rsidRPr="00CB4300">
      <w:fldChar w:fldCharType="end"/>
    </w:r>
    <w:r w:rsidRPr="00E02DA9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E02DA9" w:rsidRDefault="00281F5F" w:rsidP="00E02DA9">
    <w:pPr>
      <w:pStyle w:val="Footer"/>
    </w:pPr>
    <w:r>
      <w:fldChar w:fldCharType="begin"/>
    </w:r>
    <w:r w:rsidRPr="00E02DA9">
      <w:instrText xml:space="preserve"> FILENAME \p \* MERGEFORMAT </w:instrText>
    </w:r>
    <w:r>
      <w:fldChar w:fldCharType="separate"/>
    </w:r>
    <w:r w:rsidR="00087423">
      <w:rPr>
        <w:noProof/>
      </w:rPr>
      <w:t>P:\ARA\ITU-R\CONF-R\CMR15\000\032ADD09ADD01A.docx</w:t>
    </w:r>
    <w:r>
      <w:fldChar w:fldCharType="end"/>
    </w:r>
    <w:r w:rsidRPr="00E02DA9">
      <w:t xml:space="preserve">   (</w:t>
    </w:r>
    <w:r w:rsidR="00E02DA9">
      <w:t>387305</w:t>
    </w:r>
    <w:r w:rsidRPr="00E02DA9">
      <w:t>)</w:t>
    </w:r>
    <w:r w:rsidRPr="00E02DA9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E567C">
      <w:rPr>
        <w:noProof/>
      </w:rPr>
      <w:t>14.10.15</w:t>
    </w:r>
    <w:r w:rsidRPr="00B12661">
      <w:fldChar w:fldCharType="end"/>
    </w:r>
    <w:r w:rsidRPr="00E02DA9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90BD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32(Add.9)(Add.1)-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7423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15E1B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85582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567C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3CA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44C09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0BDB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B2CFB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AF6731"/>
    <w:rsid w:val="00AF7AC4"/>
    <w:rsid w:val="00B01623"/>
    <w:rsid w:val="00B033DF"/>
    <w:rsid w:val="00B07CEE"/>
    <w:rsid w:val="00B12661"/>
    <w:rsid w:val="00B1714C"/>
    <w:rsid w:val="00B31BE6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1F5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02DA9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97D6B"/>
    <w:rsid w:val="00FA0D4E"/>
    <w:rsid w:val="00FA15C8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2BA797F3-4E13-4E5D-9A66-9A8A248E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07F96-0872-451C-9495-82D396F69B0F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2a1a8c5-2265-4ebc-b7a0-2071e2c5c9bb"/>
    <ds:schemaRef ds:uri="996b2e75-67fd-4955-a3b0-5ab9934cb50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8272CD9-EE98-4849-863D-84EA2B0F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</Words>
  <Characters>1325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R15-WRC15-C-0032!A9-A1!MSW-A</vt:lpstr>
    </vt:vector>
  </TitlesOfParts>
  <Manager>General Secretariat - Pool</Manager>
  <Company>International Telecommunication Union (ITU)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R15-WRC15-C-0032!A9-A1!MSW-A</dc:title>
  <dc:creator>Documents Proposals Manager (DPM)</dc:creator>
  <cp:keywords>DPM_v5.2015.9.16_prod</cp:keywords>
  <cp:lastModifiedBy>Awad, Samy</cp:lastModifiedBy>
  <cp:revision>8</cp:revision>
  <cp:lastPrinted>2011-11-07T13:53:00Z</cp:lastPrinted>
  <dcterms:created xsi:type="dcterms:W3CDTF">2015-10-14T17:10:00Z</dcterms:created>
  <dcterms:modified xsi:type="dcterms:W3CDTF">2015-10-14T18:51:00Z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