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415A2B" w:rsidRDefault="003E1608" w:rsidP="00C15A14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415A2B">
              <w:rPr>
                <w:rFonts w:ascii="Verdana" w:hAnsi="Verdana"/>
                <w:rtl/>
              </w:rPr>
              <w:t xml:space="preserve">الإضافة </w:t>
            </w:r>
            <w:r w:rsidRPr="00415A2B">
              <w:rPr>
                <w:rFonts w:ascii="Verdana" w:hAnsi="Verdana"/>
              </w:rPr>
              <w:t>9</w:t>
            </w:r>
            <w:r w:rsidRPr="00415A2B">
              <w:rPr>
                <w:rFonts w:ascii="Verdana" w:hAnsi="Verdana"/>
              </w:rPr>
              <w:br/>
            </w:r>
            <w:r w:rsidRPr="00415A2B">
              <w:rPr>
                <w:rFonts w:ascii="Verdana" w:hAnsi="Verdana"/>
                <w:rtl/>
              </w:rPr>
              <w:t xml:space="preserve">للوثيقة </w:t>
            </w:r>
            <w:r w:rsidRPr="00415A2B">
              <w:rPr>
                <w:rFonts w:ascii="Verdana" w:hAnsi="Verdana"/>
              </w:rPr>
              <w:t>32</w:t>
            </w:r>
            <w:r w:rsidR="00415A2B">
              <w:rPr>
                <w:rFonts w:ascii="Verdana" w:hAnsi="Verdana"/>
              </w:rPr>
              <w:t>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415A2B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415A2B">
              <w:rPr>
                <w:rFonts w:ascii="Verdana" w:eastAsia="SimSun" w:hAnsi="Verdana"/>
              </w:rPr>
              <w:t>29</w:t>
            </w:r>
            <w:r w:rsidRPr="00415A2B">
              <w:rPr>
                <w:rFonts w:ascii="Verdana" w:eastAsia="SimSun" w:hAnsi="Verdana"/>
                <w:rtl/>
              </w:rPr>
              <w:t xml:space="preserve"> سبتمبر </w:t>
            </w:r>
            <w:r w:rsidRPr="00415A2B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415A2B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415A2B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415A2B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C15A14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C15A14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6111DF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47F07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D47F07">
              <w:t>9.1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6111DF" w:rsidP="0060473B">
      <w:pPr>
        <w:pStyle w:val="NormalafterTitel"/>
        <w:rPr>
          <w:rFonts w:eastAsia="SimSun"/>
          <w:rtl/>
        </w:rPr>
      </w:pPr>
      <w:r w:rsidRPr="00431196">
        <w:rPr>
          <w:rFonts w:eastAsia="SimSun"/>
        </w:rPr>
        <w:t>9.1</w:t>
      </w:r>
      <w:r w:rsidRPr="00431196">
        <w:rPr>
          <w:rFonts w:eastAsia="SimSun" w:hint="cs"/>
          <w:rtl/>
        </w:rPr>
        <w:tab/>
        <w:t xml:space="preserve">النظر وفقاً للقرار </w:t>
      </w:r>
      <w:r w:rsidRPr="00431196">
        <w:rPr>
          <w:rFonts w:eastAsia="SimSun"/>
          <w:b/>
          <w:bCs/>
        </w:rPr>
        <w:t>758 </w:t>
      </w:r>
      <w:r w:rsidRPr="00431196">
        <w:rPr>
          <w:rFonts w:eastAsia="SimSun"/>
          <w:b/>
        </w:rPr>
        <w:t>(WRC</w:t>
      </w:r>
      <w:r w:rsidRPr="00431196">
        <w:rPr>
          <w:rFonts w:eastAsia="SimSun"/>
          <w:b/>
        </w:rPr>
        <w:noBreakHyphen/>
        <w:t>12)</w:t>
      </w:r>
      <w:r w:rsidRPr="00431196">
        <w:rPr>
          <w:rFonts w:eastAsia="SimSun" w:hint="cs"/>
          <w:rtl/>
        </w:rPr>
        <w:t xml:space="preserve"> في:</w:t>
      </w:r>
    </w:p>
    <w:p w:rsidR="00426B37" w:rsidRDefault="00426B37" w:rsidP="00426B37">
      <w:r w:rsidRPr="00493052">
        <w:t>1.9.1</w:t>
      </w:r>
      <w:r w:rsidRPr="00493052">
        <w:rPr>
          <w:rFonts w:hint="cs"/>
          <w:rtl/>
        </w:rPr>
        <w:tab/>
        <w:t xml:space="preserve">إمكانية منح توزيعات جديدة للخدمة الثابتة الساتلية في نطاقي الترددات </w:t>
      </w:r>
      <w:r w:rsidRPr="00493052">
        <w:t>MHz 7 250</w:t>
      </w:r>
      <w:r w:rsidRPr="00493052">
        <w:noBreakHyphen/>
        <w:t>7 150</w:t>
      </w:r>
      <w:r w:rsidRPr="00493052">
        <w:rPr>
          <w:rFonts w:hint="cs"/>
          <w:rtl/>
        </w:rPr>
        <w:t xml:space="preserve"> (فضاء-أرض) و</w:t>
      </w:r>
      <w:r w:rsidRPr="00493052">
        <w:t>MHz 8 500</w:t>
      </w:r>
      <w:r w:rsidRPr="00493052">
        <w:noBreakHyphen/>
        <w:t>8 400</w:t>
      </w:r>
      <w:r w:rsidRPr="00493052">
        <w:rPr>
          <w:rFonts w:hint="cs"/>
          <w:rtl/>
        </w:rPr>
        <w:t xml:space="preserve"> (أرض-فضاء) رهناً بشروط التقاسم المناسبة؛</w:t>
      </w:r>
    </w:p>
    <w:p w:rsidR="00426B37" w:rsidRPr="00457A52" w:rsidRDefault="00426B37" w:rsidP="00426B37">
      <w:pPr>
        <w:rPr>
          <w:rtl/>
        </w:rPr>
      </w:pPr>
      <w:r w:rsidRPr="00457A52">
        <w:t>2.9.1</w:t>
      </w:r>
      <w:r w:rsidRPr="00457A52">
        <w:rPr>
          <w:rFonts w:hint="cs"/>
          <w:rtl/>
        </w:rPr>
        <w:tab/>
        <w:t xml:space="preserve">إمكانية توزيع النطاقين </w:t>
      </w:r>
      <w:r w:rsidRPr="00457A52">
        <w:t>MHz 7 750</w:t>
      </w:r>
      <w:r w:rsidRPr="00457A52">
        <w:noBreakHyphen/>
        <w:t>7 375</w:t>
      </w:r>
      <w:r w:rsidRPr="00457A52">
        <w:rPr>
          <w:rFonts w:hint="cs"/>
          <w:rtl/>
        </w:rPr>
        <w:t xml:space="preserve"> و</w:t>
      </w:r>
      <w:r w:rsidRPr="00457A52">
        <w:t>MHz 8 400</w:t>
      </w:r>
      <w:r w:rsidRPr="00457A52">
        <w:noBreakHyphen/>
        <w:t>8 025</w:t>
      </w:r>
      <w:r w:rsidRPr="00457A52">
        <w:rPr>
          <w:rFonts w:hint="cs"/>
          <w:rtl/>
        </w:rPr>
        <w:t xml:space="preserve"> للخدمة المتنقلة البحرية الساتلية والتدابير التنظيمية الإضافية حسب نتائج الدراسات ذات الصلة؛</w:t>
      </w:r>
    </w:p>
    <w:p w:rsidR="0060473B" w:rsidRPr="0060473B" w:rsidRDefault="0060473B" w:rsidP="00D44661">
      <w:pPr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t>ترد المقترحات المشتركة المقدمة من جماعة آسيا والمحيط الهادئ للاتصالات</w:t>
      </w:r>
      <w:r>
        <w:rPr>
          <w:rFonts w:hint="eastAsia"/>
          <w:rtl/>
          <w:lang w:bidi="ar-EG"/>
        </w:rPr>
        <w:t> </w:t>
      </w:r>
      <w:r>
        <w:rPr>
          <w:lang w:bidi="ar-EG"/>
        </w:rPr>
        <w:t>(ACP)</w:t>
      </w:r>
      <w:r>
        <w:rPr>
          <w:rFonts w:hint="cs"/>
          <w:rtl/>
          <w:lang w:bidi="ar-EG"/>
        </w:rPr>
        <w:t xml:space="preserve"> فيما يتعلق بالبند</w:t>
      </w:r>
      <w:r>
        <w:rPr>
          <w:rFonts w:hint="eastAsia"/>
          <w:rtl/>
          <w:lang w:bidi="ar-EG"/>
        </w:rPr>
        <w:t> </w:t>
      </w:r>
      <w:r>
        <w:rPr>
          <w:lang w:bidi="ar-EG"/>
        </w:rPr>
        <w:t>9.1</w:t>
      </w:r>
      <w:r>
        <w:rPr>
          <w:rFonts w:hint="cs"/>
          <w:rtl/>
          <w:lang w:bidi="ar-EG"/>
        </w:rPr>
        <w:t xml:space="preserve"> من جدول الأعمال في</w:t>
      </w: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الإضافات التالية لهذه الوثيقة على النحو المبين في الجدول التالي: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426B37" w:rsidRPr="00426B37" w:rsidTr="00426B37">
        <w:tc>
          <w:tcPr>
            <w:tcW w:w="1255" w:type="dxa"/>
          </w:tcPr>
          <w:p w:rsidR="00426B37" w:rsidRPr="0060473B" w:rsidRDefault="0060473B" w:rsidP="00D44661">
            <w:pPr>
              <w:pStyle w:val="Tablehead"/>
              <w:spacing w:line="300" w:lineRule="exact"/>
              <w:rPr>
                <w:lang w:val="en-GB"/>
              </w:rPr>
            </w:pPr>
            <w:r w:rsidRPr="0060473B">
              <w:rPr>
                <w:rFonts w:hint="cs"/>
                <w:rtl/>
                <w:lang w:val="en-GB"/>
              </w:rPr>
              <w:t>البند الفرعي</w:t>
            </w:r>
            <w:r w:rsidRPr="0060473B">
              <w:rPr>
                <w:lang w:val="en-GB"/>
              </w:rPr>
              <w:br/>
            </w:r>
            <w:r w:rsidRPr="0060473B">
              <w:rPr>
                <w:rFonts w:hint="cs"/>
                <w:rtl/>
                <w:lang w:val="en-GB"/>
              </w:rPr>
              <w:t>من جدول</w:t>
            </w:r>
            <w:r w:rsidRPr="0060473B">
              <w:rPr>
                <w:lang w:val="en-GB"/>
              </w:rPr>
              <w:br/>
            </w:r>
            <w:r w:rsidRPr="0060473B">
              <w:rPr>
                <w:rFonts w:hint="cs"/>
                <w:rtl/>
                <w:lang w:val="en-GB"/>
              </w:rPr>
              <w:t>الأعمال</w:t>
            </w:r>
          </w:p>
        </w:tc>
        <w:tc>
          <w:tcPr>
            <w:tcW w:w="5040" w:type="dxa"/>
          </w:tcPr>
          <w:p w:rsidR="00426B37" w:rsidRPr="0060473B" w:rsidRDefault="0060473B" w:rsidP="00D44661">
            <w:pPr>
              <w:pStyle w:val="Tablehead"/>
              <w:spacing w:line="300" w:lineRule="exact"/>
              <w:rPr>
                <w:lang w:val="en-GB"/>
              </w:rPr>
            </w:pPr>
            <w:r w:rsidRPr="0060473B">
              <w:rPr>
                <w:rFonts w:hint="cs"/>
                <w:rtl/>
                <w:lang w:val="en-GB"/>
              </w:rPr>
              <w:t>العنوان</w:t>
            </w:r>
          </w:p>
        </w:tc>
        <w:tc>
          <w:tcPr>
            <w:tcW w:w="1530" w:type="dxa"/>
          </w:tcPr>
          <w:p w:rsidR="00426B37" w:rsidRPr="0060473B" w:rsidRDefault="0060473B" w:rsidP="00D44661">
            <w:pPr>
              <w:pStyle w:val="Tablehead"/>
              <w:tabs>
                <w:tab w:val="center" w:pos="657"/>
              </w:tabs>
              <w:spacing w:line="300" w:lineRule="exact"/>
              <w:rPr>
                <w:lang w:val="en-GB"/>
              </w:rPr>
            </w:pPr>
            <w:r w:rsidRPr="0060473B">
              <w:rPr>
                <w:rFonts w:hint="cs"/>
                <w:rtl/>
                <w:lang w:val="en-GB"/>
              </w:rPr>
              <w:t>رقم الإضافة</w:t>
            </w:r>
          </w:p>
        </w:tc>
        <w:tc>
          <w:tcPr>
            <w:tcW w:w="1804" w:type="dxa"/>
          </w:tcPr>
          <w:p w:rsidR="00426B37" w:rsidRPr="0060473B" w:rsidRDefault="0060473B" w:rsidP="00D44661">
            <w:pPr>
              <w:pStyle w:val="Tablehead"/>
              <w:spacing w:line="300" w:lineRule="exact"/>
              <w:rPr>
                <w:lang w:val="en-GB"/>
              </w:rPr>
            </w:pPr>
            <w:r w:rsidRPr="0060473B">
              <w:rPr>
                <w:rFonts w:hint="cs"/>
                <w:rtl/>
                <w:lang w:val="en-GB"/>
              </w:rPr>
              <w:t>رقم المقترح المشترك</w:t>
            </w:r>
            <w:r w:rsidRPr="0060473B">
              <w:rPr>
                <w:lang w:val="en-GB"/>
              </w:rPr>
              <w:br/>
            </w:r>
            <w:r w:rsidRPr="0060473B">
              <w:rPr>
                <w:rFonts w:hint="cs"/>
                <w:rtl/>
                <w:lang w:val="en-GB"/>
              </w:rPr>
              <w:t>المقدم من جماعة</w:t>
            </w:r>
            <w:r w:rsidRPr="0060473B">
              <w:rPr>
                <w:lang w:val="en-GB"/>
              </w:rPr>
              <w:br/>
            </w:r>
            <w:r w:rsidRPr="0060473B">
              <w:rPr>
                <w:rFonts w:hint="cs"/>
                <w:rtl/>
                <w:lang w:val="en-GB"/>
              </w:rPr>
              <w:t>آسيا والمحيط الهادئ</w:t>
            </w:r>
            <w:r w:rsidRPr="0060473B">
              <w:rPr>
                <w:lang w:val="en-GB"/>
              </w:rPr>
              <w:br/>
            </w:r>
            <w:r w:rsidRPr="0060473B">
              <w:rPr>
                <w:rFonts w:hint="cs"/>
                <w:rtl/>
                <w:lang w:val="en-GB"/>
              </w:rPr>
              <w:t>للاتصالات</w:t>
            </w:r>
          </w:p>
        </w:tc>
      </w:tr>
      <w:tr w:rsidR="00426B37" w:rsidRPr="00426B37" w:rsidTr="00426B37">
        <w:tc>
          <w:tcPr>
            <w:tcW w:w="1255" w:type="dxa"/>
          </w:tcPr>
          <w:p w:rsidR="00426B37" w:rsidRPr="0060473B" w:rsidRDefault="00426B37" w:rsidP="00D44661">
            <w:pPr>
              <w:pStyle w:val="TabletextS5"/>
              <w:spacing w:before="60" w:after="60"/>
              <w:jc w:val="center"/>
              <w:rPr>
                <w:lang w:val="en-GB"/>
              </w:rPr>
            </w:pPr>
            <w:r w:rsidRPr="0060473B">
              <w:rPr>
                <w:lang w:val="en-GB"/>
              </w:rPr>
              <w:t>1.9.1</w:t>
            </w:r>
          </w:p>
        </w:tc>
        <w:tc>
          <w:tcPr>
            <w:tcW w:w="5040" w:type="dxa"/>
          </w:tcPr>
          <w:p w:rsidR="00426B37" w:rsidRPr="009F0CE8" w:rsidRDefault="00C915D7" w:rsidP="006878D3">
            <w:pPr>
              <w:pStyle w:val="TabletextS5"/>
              <w:spacing w:before="60" w:after="60"/>
              <w:rPr>
                <w:spacing w:val="2"/>
                <w:lang w:val="en-GB"/>
              </w:rPr>
            </w:pPr>
            <w:r w:rsidRPr="009F0CE8">
              <w:rPr>
                <w:rFonts w:hint="cs"/>
                <w:spacing w:val="2"/>
                <w:rtl/>
              </w:rPr>
              <w:t xml:space="preserve">إمكانية منح توزيعات جديدة للخدمة الثابتة الساتلية في نطاقي الترددات </w:t>
            </w:r>
            <w:r w:rsidRPr="009F0CE8">
              <w:rPr>
                <w:spacing w:val="2"/>
              </w:rPr>
              <w:t>MHz 7 250</w:t>
            </w:r>
            <w:r w:rsidRPr="009F0CE8">
              <w:rPr>
                <w:spacing w:val="2"/>
              </w:rPr>
              <w:noBreakHyphen/>
              <w:t>7 150</w:t>
            </w:r>
            <w:r w:rsidRPr="009F0CE8">
              <w:rPr>
                <w:rFonts w:hint="cs"/>
                <w:spacing w:val="2"/>
                <w:rtl/>
              </w:rPr>
              <w:t xml:space="preserve"> (فضاء-أرض) و</w:t>
            </w:r>
            <w:r w:rsidRPr="009F0CE8">
              <w:rPr>
                <w:spacing w:val="2"/>
              </w:rPr>
              <w:t>MHz 8 500</w:t>
            </w:r>
            <w:r w:rsidRPr="009F0CE8">
              <w:rPr>
                <w:spacing w:val="2"/>
              </w:rPr>
              <w:noBreakHyphen/>
              <w:t>8 400</w:t>
            </w:r>
            <w:r w:rsidR="006878D3">
              <w:rPr>
                <w:spacing w:val="2"/>
                <w:rtl/>
              </w:rPr>
              <w:br/>
            </w:r>
            <w:r w:rsidRPr="009F0CE8">
              <w:rPr>
                <w:rFonts w:hint="cs"/>
                <w:spacing w:val="2"/>
                <w:rtl/>
              </w:rPr>
              <w:t>(أرض</w:t>
            </w:r>
            <w:r w:rsidR="009F0CE8" w:rsidRPr="009F0CE8">
              <w:rPr>
                <w:rFonts w:hint="cs"/>
                <w:spacing w:val="2"/>
                <w:rtl/>
              </w:rPr>
              <w:t>-</w:t>
            </w:r>
            <w:r w:rsidRPr="009F0CE8">
              <w:rPr>
                <w:rFonts w:hint="cs"/>
                <w:spacing w:val="2"/>
                <w:rtl/>
              </w:rPr>
              <w:t>فضاء) رهناً بشروط التقاسم المناسبة</w:t>
            </w:r>
            <w:r w:rsidR="00BB7DA6">
              <w:rPr>
                <w:rFonts w:hint="cs"/>
                <w:spacing w:val="2"/>
                <w:rtl/>
              </w:rPr>
              <w:t>؛</w:t>
            </w:r>
          </w:p>
        </w:tc>
        <w:tc>
          <w:tcPr>
            <w:tcW w:w="1530" w:type="dxa"/>
          </w:tcPr>
          <w:p w:rsidR="00426B37" w:rsidRPr="00C15A14" w:rsidRDefault="00426B37" w:rsidP="00D44661">
            <w:pPr>
              <w:pStyle w:val="TabletextS5"/>
              <w:spacing w:before="60" w:after="60"/>
              <w:jc w:val="center"/>
              <w:rPr>
                <w:lang w:val="en-GB"/>
              </w:rPr>
            </w:pPr>
            <w:r w:rsidRPr="00C15A14">
              <w:rPr>
                <w:lang w:val="en-GB"/>
              </w:rPr>
              <w:t>A9-A1</w:t>
            </w:r>
          </w:p>
        </w:tc>
        <w:tc>
          <w:tcPr>
            <w:tcW w:w="1804" w:type="dxa"/>
          </w:tcPr>
          <w:p w:rsidR="00426B37" w:rsidRPr="00C15A14" w:rsidRDefault="00426B37" w:rsidP="00C15A14">
            <w:pPr>
              <w:pStyle w:val="TabletextS5"/>
              <w:spacing w:before="60" w:after="60"/>
              <w:jc w:val="center"/>
            </w:pPr>
            <w:r w:rsidRPr="00C15A14">
              <w:rPr>
                <w:lang w:val="en-GB"/>
              </w:rPr>
              <w:t>A9-A1/1</w:t>
            </w:r>
            <w:r w:rsidR="00C15A14">
              <w:rPr>
                <w:rFonts w:hint="cs"/>
                <w:rtl/>
                <w:lang w:val="en-GB"/>
              </w:rPr>
              <w:t xml:space="preserve"> إلى </w:t>
            </w:r>
            <w:r w:rsidR="00C15A14">
              <w:t>3</w:t>
            </w:r>
          </w:p>
        </w:tc>
      </w:tr>
      <w:tr w:rsidR="00426B37" w:rsidRPr="00426B37" w:rsidTr="00426B37">
        <w:tc>
          <w:tcPr>
            <w:tcW w:w="1255" w:type="dxa"/>
          </w:tcPr>
          <w:p w:rsidR="00426B37" w:rsidRPr="0060473B" w:rsidRDefault="0060473B" w:rsidP="00D44661">
            <w:pPr>
              <w:pStyle w:val="TabletextS5"/>
              <w:spacing w:before="60" w:after="60"/>
              <w:jc w:val="center"/>
              <w:rPr>
                <w:lang w:val="en-GB"/>
              </w:rPr>
            </w:pPr>
            <w:r w:rsidRPr="0060473B">
              <w:rPr>
                <w:lang w:val="en-GB"/>
              </w:rPr>
              <w:t>2</w:t>
            </w:r>
            <w:r w:rsidR="00426B37" w:rsidRPr="0060473B">
              <w:rPr>
                <w:lang w:val="en-GB"/>
              </w:rPr>
              <w:t>.9.</w:t>
            </w:r>
            <w:r w:rsidRPr="0060473B">
              <w:rPr>
                <w:lang w:val="en-GB"/>
              </w:rPr>
              <w:t>1</w:t>
            </w:r>
          </w:p>
        </w:tc>
        <w:tc>
          <w:tcPr>
            <w:tcW w:w="5040" w:type="dxa"/>
          </w:tcPr>
          <w:p w:rsidR="00426B37" w:rsidRPr="0060473B" w:rsidRDefault="00C915D7" w:rsidP="006878D3">
            <w:pPr>
              <w:pStyle w:val="TabletextS5"/>
              <w:spacing w:before="60" w:after="60"/>
              <w:rPr>
                <w:lang w:val="en-GB"/>
              </w:rPr>
            </w:pPr>
            <w:r w:rsidRPr="0060473B">
              <w:rPr>
                <w:rFonts w:hint="cs"/>
                <w:rtl/>
              </w:rPr>
              <w:t xml:space="preserve">إمكانية توزيع النطاقين </w:t>
            </w:r>
            <w:r w:rsidRPr="0060473B">
              <w:t>MHz 7 750</w:t>
            </w:r>
            <w:r w:rsidRPr="0060473B">
              <w:noBreakHyphen/>
              <w:t>7 375</w:t>
            </w:r>
            <w:r w:rsidRPr="0060473B">
              <w:rPr>
                <w:rFonts w:hint="cs"/>
                <w:rtl/>
              </w:rPr>
              <w:t xml:space="preserve"> و</w:t>
            </w:r>
            <w:r w:rsidRPr="0060473B">
              <w:t>MHz 8 400</w:t>
            </w:r>
            <w:r w:rsidRPr="0060473B">
              <w:noBreakHyphen/>
              <w:t>8 025</w:t>
            </w:r>
            <w:r w:rsidRPr="0060473B">
              <w:rPr>
                <w:rFonts w:hint="cs"/>
                <w:rtl/>
              </w:rPr>
              <w:t xml:space="preserve"> للخدمة المتنقلة البحرية الساتلية والتدابير التنظيمية الإضافية حسب نتائج الدراسات ذات الصلة</w:t>
            </w:r>
            <w:r w:rsidR="00BB7DA6">
              <w:rPr>
                <w:rFonts w:hint="cs"/>
                <w:rtl/>
              </w:rPr>
              <w:t>؛</w:t>
            </w:r>
          </w:p>
        </w:tc>
        <w:tc>
          <w:tcPr>
            <w:tcW w:w="1530" w:type="dxa"/>
          </w:tcPr>
          <w:p w:rsidR="00426B37" w:rsidRPr="00C15A14" w:rsidRDefault="00426B37" w:rsidP="00D44661">
            <w:pPr>
              <w:pStyle w:val="TabletextS5"/>
              <w:spacing w:before="60" w:after="60"/>
              <w:jc w:val="center"/>
              <w:rPr>
                <w:lang w:val="en-GB"/>
              </w:rPr>
            </w:pPr>
            <w:r w:rsidRPr="00C15A14">
              <w:rPr>
                <w:lang w:val="en-GB"/>
              </w:rPr>
              <w:t>A9-A2</w:t>
            </w:r>
          </w:p>
        </w:tc>
        <w:tc>
          <w:tcPr>
            <w:tcW w:w="1804" w:type="dxa"/>
          </w:tcPr>
          <w:p w:rsidR="00426B37" w:rsidRPr="00C15A14" w:rsidRDefault="00426B37" w:rsidP="00C15A14">
            <w:pPr>
              <w:pStyle w:val="TabletextS5"/>
              <w:spacing w:before="60" w:after="60"/>
              <w:jc w:val="center"/>
            </w:pPr>
            <w:r w:rsidRPr="00C15A14">
              <w:rPr>
                <w:lang w:val="en-GB"/>
              </w:rPr>
              <w:t>A9-A2/1</w:t>
            </w:r>
            <w:r w:rsidR="00C15A14">
              <w:rPr>
                <w:rFonts w:hint="cs"/>
                <w:rtl/>
                <w:lang w:val="en-GB"/>
              </w:rPr>
              <w:t xml:space="preserve"> و</w:t>
            </w:r>
            <w:r w:rsidR="00C15A14">
              <w:t>2</w:t>
            </w:r>
            <w:bookmarkStart w:id="1" w:name="_GoBack"/>
            <w:bookmarkEnd w:id="1"/>
          </w:p>
        </w:tc>
      </w:tr>
    </w:tbl>
    <w:p w:rsidR="00426B37" w:rsidRPr="002919E1" w:rsidRDefault="00426B37" w:rsidP="003A4E69">
      <w:pPr>
        <w:spacing w:before="360"/>
        <w:jc w:val="center"/>
        <w:rPr>
          <w:noProof/>
          <w:rtl/>
          <w:lang w:bidi="ar-EG"/>
        </w:rPr>
      </w:pPr>
      <w:r>
        <w:rPr>
          <w:rFonts w:hint="cs"/>
          <w:noProof/>
          <w:rtl/>
          <w:lang w:bidi="ar-EG"/>
        </w:rPr>
        <w:t>___________</w:t>
      </w:r>
    </w:p>
    <w:sectPr w:rsidR="00426B37" w:rsidRPr="002919E1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7248EC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A27CAC">
      <w:rPr>
        <w:noProof/>
        <w:lang w:val="es-ES"/>
      </w:rPr>
      <w:t>P:\ARA\ITU-R\CONF-R\CMR15\000\032ADD09A.docx</w:t>
    </w:r>
    <w:r w:rsidRPr="00CB4300">
      <w:fldChar w:fldCharType="end"/>
    </w:r>
    <w:r w:rsidRPr="00CB4300">
      <w:rPr>
        <w:lang w:val="es-ES"/>
      </w:rPr>
      <w:t xml:space="preserve">  (</w:t>
    </w:r>
    <w:proofErr w:type="spellStart"/>
    <w:r w:rsidRPr="00CB4300">
      <w:rPr>
        <w:lang w:val="es-ES"/>
      </w:rPr>
      <w:t>xxxxxx</w:t>
    </w:r>
    <w:proofErr w:type="spellEnd"/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C15A14">
      <w:rPr>
        <w:noProof/>
      </w:rPr>
      <w:t>08.10.15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A27CAC">
      <w:rPr>
        <w:noProof/>
      </w:rPr>
      <w:t>08.10.15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26B37" w:rsidRDefault="00281F5F" w:rsidP="0060473B">
    <w:pPr>
      <w:pStyle w:val="Footer"/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A27CAC">
      <w:rPr>
        <w:noProof/>
        <w:lang w:val="es-ES"/>
      </w:rPr>
      <w:t>P:\ARA\ITU-R\CONF-R\CMR15\000\032ADD09A.docx</w:t>
    </w:r>
    <w:r>
      <w:fldChar w:fldCharType="end"/>
    </w:r>
    <w:r w:rsidRPr="00426B37">
      <w:t xml:space="preserve">   (</w:t>
    </w:r>
    <w:r w:rsidR="0060473B">
      <w:t>387304</w:t>
    </w:r>
    <w:r w:rsidRPr="00426B37">
      <w:t>)</w:t>
    </w:r>
    <w:r w:rsidRPr="00426B37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C15A14">
      <w:rPr>
        <w:noProof/>
      </w:rPr>
      <w:t>08.10.15</w:t>
    </w:r>
    <w:r w:rsidRPr="00B12661">
      <w:fldChar w:fldCharType="end"/>
    </w:r>
    <w:r w:rsidRPr="00426B37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A27CAC">
      <w:rPr>
        <w:noProof/>
      </w:rPr>
      <w:t>08.10.15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3A4E69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32(Add.9)-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81436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4E69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15A2B"/>
    <w:rsid w:val="00422C04"/>
    <w:rsid w:val="00426144"/>
    <w:rsid w:val="00426B37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1979"/>
    <w:rsid w:val="005D6D48"/>
    <w:rsid w:val="005D72A4"/>
    <w:rsid w:val="005F05CC"/>
    <w:rsid w:val="005F65DE"/>
    <w:rsid w:val="0060473B"/>
    <w:rsid w:val="006111DF"/>
    <w:rsid w:val="00613492"/>
    <w:rsid w:val="006315B5"/>
    <w:rsid w:val="00651343"/>
    <w:rsid w:val="0065562F"/>
    <w:rsid w:val="00680A66"/>
    <w:rsid w:val="00681391"/>
    <w:rsid w:val="006878D3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0CE8"/>
    <w:rsid w:val="009F7BA0"/>
    <w:rsid w:val="00A03FD6"/>
    <w:rsid w:val="00A116A8"/>
    <w:rsid w:val="00A22AE9"/>
    <w:rsid w:val="00A26758"/>
    <w:rsid w:val="00A26D0E"/>
    <w:rsid w:val="00A278E9"/>
    <w:rsid w:val="00A27CAC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B7DA6"/>
    <w:rsid w:val="00BD6EF3"/>
    <w:rsid w:val="00BE69C3"/>
    <w:rsid w:val="00C1165E"/>
    <w:rsid w:val="00C15A14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5D7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661"/>
    <w:rsid w:val="00D44E3F"/>
    <w:rsid w:val="00D47F07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95243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70F2D9C7-FFBD-4FE9-9601-41DA48FC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NormalafterTitel">
    <w:name w:val="Normal after Titel"/>
    <w:basedOn w:val="Normal"/>
    <w:link w:val="NormalafterTitelChar"/>
    <w:rsid w:val="00426B37"/>
    <w:pPr>
      <w:spacing w:before="360"/>
    </w:pPr>
    <w:rPr>
      <w:lang w:bidi="ar-EG"/>
    </w:rPr>
  </w:style>
  <w:style w:type="character" w:customStyle="1" w:styleId="NormalafterTitelChar">
    <w:name w:val="Normal after Titel Char"/>
    <w:basedOn w:val="DefaultParagraphFont"/>
    <w:link w:val="NormalafterTitel"/>
    <w:rsid w:val="00426B37"/>
    <w:rPr>
      <w:rFonts w:ascii="Times New Roman" w:hAnsi="Times New Roman" w:cs="Traditional Arabic"/>
      <w:sz w:val="22"/>
      <w:szCs w:val="30"/>
      <w:lang w:eastAsia="en-US" w:bidi="ar-EG"/>
    </w:rPr>
  </w:style>
  <w:style w:type="table" w:customStyle="1" w:styleId="TableGrid1">
    <w:name w:val="Table Grid1"/>
    <w:basedOn w:val="TableNormal"/>
    <w:next w:val="TableGrid"/>
    <w:rsid w:val="00426B37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7769E9-84E2-4FA9-B233-75AEF90755CC}">
  <ds:schemaRefs>
    <ds:schemaRef ds:uri="http://purl.org/dc/dcmitype/"/>
    <ds:schemaRef ds:uri="http://schemas.microsoft.com/office/2006/metadata/properties"/>
    <ds:schemaRef ds:uri="32a1a8c5-2265-4ebc-b7a0-2071e2c5c9bb"/>
    <ds:schemaRef ds:uri="http://www.w3.org/XML/1998/namespace"/>
    <ds:schemaRef ds:uri="http://schemas.microsoft.com/office/2006/documentManagement/types"/>
    <ds:schemaRef ds:uri="996b2e75-67fd-4955-a3b0-5ab9934cb50b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98F3C2-203A-4FCC-B8D4-B065E6F4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1129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R15-WRC15-C-0032!A9!MSW-A</vt:lpstr>
    </vt:vector>
  </TitlesOfParts>
  <Manager>General Secretariat - Pool</Manager>
  <Company>International Telecommunication Union (ITU)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R15-WRC15-C-0032!A9!MSW-A</dc:title>
  <dc:creator>Documents Proposals Manager (DPM)</dc:creator>
  <cp:keywords>DPM_v5.2015.9.16_prod</cp:keywords>
  <cp:lastModifiedBy>Awad, Samy</cp:lastModifiedBy>
  <cp:revision>10</cp:revision>
  <cp:lastPrinted>2015-10-08T13:18:00Z</cp:lastPrinted>
  <dcterms:created xsi:type="dcterms:W3CDTF">2015-10-08T13:06:00Z</dcterms:created>
  <dcterms:modified xsi:type="dcterms:W3CDTF">2015-10-09T17:59:00Z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