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:rsidTr="0050008E">
        <w:trPr>
          <w:cantSplit/>
        </w:trPr>
        <w:tc>
          <w:tcPr>
            <w:tcW w:w="6911" w:type="dxa"/>
          </w:tcPr>
          <w:p w:rsidR="00BB1D82" w:rsidRPr="00930FFD" w:rsidRDefault="00851625" w:rsidP="002A6F8F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:rsidR="00BB1D82" w:rsidRPr="002A6F8F" w:rsidRDefault="002C28A4" w:rsidP="002C28A4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GB" w:eastAsia="zh-CN"/>
              </w:rPr>
              <w:drawing>
                <wp:inline distT="0" distB="0" distL="0" distR="0" wp14:anchorId="4EDCAEED" wp14:editId="032F8E9F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2A6F8F" w:rsidRDefault="002C28A4" w:rsidP="00BB1D82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BB1D82" w:rsidRPr="00930FFD" w:rsidRDefault="006D4724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  <w:shd w:val="clear" w:color="auto" w:fill="auto"/>
          </w:tcPr>
          <w:p w:rsidR="00BB1D82" w:rsidRPr="002A6F8F" w:rsidRDefault="006D4724" w:rsidP="00BA5BD0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t>Addendum 6 au</w:t>
            </w:r>
            <w:r>
              <w:rPr>
                <w:rFonts w:ascii="Verdana" w:eastAsia="SimSun" w:hAnsi="Verdana" w:cs="Traditional Arabic"/>
                <w:b/>
                <w:sz w:val="20"/>
                <w:lang w:val="en-US"/>
              </w:rPr>
              <w:br/>
              <w:t>Document 32</w:t>
            </w:r>
            <w:r w:rsidR="00BB1D82" w:rsidRPr="002A6F8F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2A6F8F">
              <w:rPr>
                <w:rFonts w:ascii="Verdana" w:hAnsi="Verdana"/>
                <w:b/>
                <w:sz w:val="20"/>
                <w:lang w:val="en-US"/>
              </w:rPr>
              <w:t>F</w:t>
            </w:r>
          </w:p>
        </w:tc>
      </w:tr>
      <w:bookmarkEnd w:id="1"/>
      <w:tr w:rsidR="00690C7B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690C7B" w:rsidRPr="00930FFD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3120" w:type="dxa"/>
            <w:shd w:val="clear" w:color="auto" w:fill="auto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29 septembre 2015</w:t>
            </w:r>
          </w:p>
        </w:tc>
      </w:tr>
      <w:tr w:rsidR="00690C7B" w:rsidRPr="002A6F8F" w:rsidTr="00BB1D82">
        <w:trPr>
          <w:cantSplit/>
        </w:trPr>
        <w:tc>
          <w:tcPr>
            <w:tcW w:w="6911" w:type="dxa"/>
          </w:tcPr>
          <w:p w:rsidR="00690C7B" w:rsidRPr="002A6F8F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690C7B" w:rsidRPr="002A6F8F" w:rsidTr="00C11970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BC754A" w:rsidRDefault="00690C7B" w:rsidP="00690C7B">
            <w:pPr>
              <w:pStyle w:val="Source"/>
              <w:rPr>
                <w:lang w:val="fr-CH"/>
              </w:rPr>
            </w:pPr>
            <w:bookmarkStart w:id="2" w:name="dsource" w:colFirst="0" w:colLast="0"/>
            <w:r w:rsidRPr="00BC754A">
              <w:rPr>
                <w:lang w:val="fr-CH"/>
              </w:rPr>
              <w:t>Propositions communes de la Télécommunauté</w:t>
            </w:r>
            <w:bookmarkStart w:id="3" w:name="_GoBack"/>
            <w:bookmarkEnd w:id="3"/>
            <w:r w:rsidRPr="00BC754A">
              <w:rPr>
                <w:lang w:val="fr-CH"/>
              </w:rPr>
              <w:t xml:space="preserve"> Asie-Pacifique</w:t>
            </w:r>
          </w:p>
        </w:tc>
      </w:tr>
      <w:tr w:rsidR="00690C7B" w:rsidRPr="00BC754A" w:rsidTr="0050008E">
        <w:trPr>
          <w:cantSplit/>
        </w:trPr>
        <w:tc>
          <w:tcPr>
            <w:tcW w:w="10031" w:type="dxa"/>
            <w:gridSpan w:val="2"/>
          </w:tcPr>
          <w:p w:rsidR="00690C7B" w:rsidRPr="00AB7B02" w:rsidRDefault="00AB7B02" w:rsidP="00690C7B">
            <w:pPr>
              <w:pStyle w:val="Title1"/>
              <w:rPr>
                <w:lang w:val="fr-CH"/>
              </w:rPr>
            </w:pPr>
            <w:bookmarkStart w:id="4" w:name="dtitle1" w:colFirst="0" w:colLast="0"/>
            <w:bookmarkEnd w:id="2"/>
            <w:r w:rsidRPr="00AB7B02">
              <w:rPr>
                <w:lang w:val="fr-CH"/>
              </w:rPr>
              <w:t>propositions pour les travaux de la conférence</w:t>
            </w:r>
          </w:p>
        </w:tc>
      </w:tr>
      <w:tr w:rsidR="00690C7B" w:rsidRPr="00BC754A" w:rsidTr="0050008E">
        <w:trPr>
          <w:cantSplit/>
        </w:trPr>
        <w:tc>
          <w:tcPr>
            <w:tcW w:w="10031" w:type="dxa"/>
            <w:gridSpan w:val="2"/>
          </w:tcPr>
          <w:p w:rsidR="00690C7B" w:rsidRPr="00AB7B02" w:rsidRDefault="00690C7B" w:rsidP="00690C7B">
            <w:pPr>
              <w:pStyle w:val="Title2"/>
              <w:rPr>
                <w:lang w:val="fr-CH"/>
              </w:rPr>
            </w:pPr>
            <w:bookmarkStart w:id="5" w:name="dtitle2" w:colFirst="0" w:colLast="0"/>
            <w:bookmarkEnd w:id="4"/>
          </w:p>
        </w:tc>
      </w:tr>
      <w:tr w:rsidR="00690C7B" w:rsidTr="0050008E">
        <w:trPr>
          <w:cantSplit/>
        </w:trPr>
        <w:tc>
          <w:tcPr>
            <w:tcW w:w="10031" w:type="dxa"/>
            <w:gridSpan w:val="2"/>
          </w:tcPr>
          <w:p w:rsidR="00690C7B" w:rsidRDefault="00690C7B" w:rsidP="00690C7B">
            <w:pPr>
              <w:pStyle w:val="Agendaitem"/>
            </w:pPr>
            <w:bookmarkStart w:id="6" w:name="dtitle3" w:colFirst="0" w:colLast="0"/>
            <w:bookmarkEnd w:id="5"/>
            <w:r w:rsidRPr="006D4724">
              <w:t>Point 1.6 de l'ordre du jour</w:t>
            </w:r>
          </w:p>
        </w:tc>
      </w:tr>
    </w:tbl>
    <w:bookmarkEnd w:id="6"/>
    <w:p w:rsidR="001C0E40" w:rsidRDefault="00E85525" w:rsidP="00A67592">
      <w:pPr>
        <w:rPr>
          <w:lang w:val="fr-CA"/>
        </w:rPr>
      </w:pPr>
      <w:r w:rsidRPr="00A67592">
        <w:rPr>
          <w:lang w:val="fr-CA"/>
        </w:rPr>
        <w:t>1.6</w:t>
      </w:r>
      <w:r w:rsidRPr="00A67592">
        <w:rPr>
          <w:lang w:val="fr-CA"/>
        </w:rPr>
        <w:tab/>
        <w:t>envisager la possibilité de faire des attributions additionnelles à titre primaire:</w:t>
      </w:r>
    </w:p>
    <w:p w:rsidR="00BC754A" w:rsidRPr="007B55A9" w:rsidRDefault="00BC754A" w:rsidP="00BC754A">
      <w:pPr>
        <w:rPr>
          <w:lang w:val="fr-CH"/>
        </w:rPr>
      </w:pPr>
      <w:r w:rsidRPr="007B55A9">
        <w:rPr>
          <w:lang w:val="fr-CH"/>
        </w:rPr>
        <w:t>1.6.1</w:t>
      </w:r>
      <w:r w:rsidRPr="007B55A9">
        <w:rPr>
          <w:lang w:val="fr-CH"/>
        </w:rPr>
        <w:tab/>
        <w:t xml:space="preserve">au </w:t>
      </w:r>
      <w:r w:rsidRPr="007B55A9">
        <w:rPr>
          <w:szCs w:val="24"/>
          <w:lang w:val="fr-CH"/>
        </w:rPr>
        <w:t>service</w:t>
      </w:r>
      <w:r w:rsidRPr="007B55A9">
        <w:rPr>
          <w:lang w:val="fr-CH"/>
        </w:rPr>
        <w:t xml:space="preserve"> fixe par </w:t>
      </w:r>
      <w:r w:rsidRPr="007B55A9">
        <w:rPr>
          <w:rFonts w:cs="Arial"/>
          <w:lang w:val="fr-CH"/>
        </w:rPr>
        <w:t>satellite</w:t>
      </w:r>
      <w:r w:rsidRPr="007B55A9">
        <w:rPr>
          <w:lang w:val="fr-CH"/>
        </w:rPr>
        <w:t xml:space="preserve"> (Terre vers espace et espace vers Terre) de 250 MHz dans la gamme comprise entre 10 GHz et 17 GHz dans la Région 1;</w:t>
      </w:r>
    </w:p>
    <w:p w:rsidR="00BC754A" w:rsidRPr="00A67592" w:rsidRDefault="00BC754A" w:rsidP="00BC754A">
      <w:pPr>
        <w:rPr>
          <w:lang w:val="fr-CA"/>
        </w:rPr>
      </w:pPr>
      <w:r w:rsidRPr="007B55A9">
        <w:rPr>
          <w:lang w:val="fr-CH"/>
        </w:rPr>
        <w:t>1.6.2</w:t>
      </w:r>
      <w:r w:rsidRPr="007B55A9">
        <w:rPr>
          <w:lang w:val="fr-CH"/>
        </w:rPr>
        <w:tab/>
        <w:t>au service fixe par satellite (Terre vers espace) de 250 MHz dans la Région 2 et de 300 MHz dans la Région 3 dans la gamme 13-17 GHz;</w:t>
      </w:r>
    </w:p>
    <w:p w:rsidR="001C0E40" w:rsidRDefault="00E85525" w:rsidP="005D66C8">
      <w:pPr>
        <w:rPr>
          <w:rFonts w:asciiTheme="majorBidi" w:hAnsiTheme="majorBidi" w:cstheme="majorBidi"/>
          <w:szCs w:val="24"/>
          <w:lang w:val="fr-CA"/>
        </w:rPr>
      </w:pPr>
      <w:r w:rsidRPr="005B4D38">
        <w:rPr>
          <w:rFonts w:asciiTheme="majorBidi" w:hAnsiTheme="majorBidi" w:cstheme="majorBidi"/>
          <w:szCs w:val="24"/>
          <w:lang w:val="fr-CA"/>
        </w:rPr>
        <w:t xml:space="preserve">et examiner les dispositions réglementaires relatives aux attributions actuelles au service fixe par satellite dans chaque gamme, compte tenu des résultats des études de l'UIT-R, conformément aux Résolutions </w:t>
      </w:r>
      <w:r w:rsidRPr="005B4D38">
        <w:rPr>
          <w:rFonts w:asciiTheme="majorBidi" w:hAnsiTheme="majorBidi" w:cstheme="majorBidi"/>
          <w:b/>
          <w:bCs/>
          <w:szCs w:val="24"/>
          <w:lang w:val="fr-CA"/>
        </w:rPr>
        <w:t>151 (CMR-12)</w:t>
      </w:r>
      <w:r w:rsidRPr="005B4D38">
        <w:rPr>
          <w:rFonts w:asciiTheme="majorBidi" w:hAnsiTheme="majorBidi" w:cstheme="majorBidi"/>
          <w:szCs w:val="24"/>
          <w:lang w:val="fr-CA"/>
        </w:rPr>
        <w:t xml:space="preserve"> et </w:t>
      </w:r>
      <w:r w:rsidRPr="005B4D38">
        <w:rPr>
          <w:rFonts w:asciiTheme="majorBidi" w:hAnsiTheme="majorBidi" w:cstheme="majorBidi"/>
          <w:b/>
          <w:bCs/>
          <w:szCs w:val="24"/>
          <w:lang w:val="fr-CA"/>
        </w:rPr>
        <w:t>152 (CMR-12)</w:t>
      </w:r>
      <w:r w:rsidRPr="005B4D38">
        <w:rPr>
          <w:rFonts w:asciiTheme="majorBidi" w:hAnsiTheme="majorBidi" w:cstheme="majorBidi"/>
          <w:szCs w:val="24"/>
          <w:lang w:val="fr-CA"/>
        </w:rPr>
        <w:t xml:space="preserve"> respectivement;</w:t>
      </w:r>
    </w:p>
    <w:p w:rsidR="0097775C" w:rsidRPr="005B4D38" w:rsidRDefault="0097775C" w:rsidP="005D66C8">
      <w:pPr>
        <w:rPr>
          <w:rFonts w:asciiTheme="majorBidi" w:hAnsiTheme="majorBidi" w:cstheme="majorBidi"/>
          <w:szCs w:val="24"/>
          <w:lang w:val="fr-CA"/>
        </w:rPr>
      </w:pPr>
    </w:p>
    <w:p w:rsidR="003A583E" w:rsidRDefault="00531A7F" w:rsidP="0097775C">
      <w:pPr>
        <w:rPr>
          <w:lang w:val="fr-CA"/>
        </w:rPr>
      </w:pPr>
      <w:r>
        <w:rPr>
          <w:lang w:val="fr-CA"/>
        </w:rPr>
        <w:t>On trouvera dans le T</w:t>
      </w:r>
      <w:r w:rsidR="00BC1743" w:rsidRPr="00BC1743">
        <w:rPr>
          <w:lang w:val="fr-CA"/>
        </w:rPr>
        <w:t xml:space="preserve">ableau ci-dessous les propositions communes de la </w:t>
      </w:r>
      <w:r w:rsidR="00BC1743" w:rsidRPr="00BC754A">
        <w:rPr>
          <w:lang w:val="fr-CH"/>
        </w:rPr>
        <w:t>Télécommunauté Asie-Pacifique</w:t>
      </w:r>
      <w:r w:rsidR="00BC1743" w:rsidRPr="00BC1743">
        <w:rPr>
          <w:lang w:val="fr-CA"/>
        </w:rPr>
        <w:t xml:space="preserve"> </w:t>
      </w:r>
      <w:r w:rsidR="00BC1743">
        <w:rPr>
          <w:lang w:val="fr-CA"/>
        </w:rPr>
        <w:t>(ACP</w:t>
      </w:r>
      <w:r w:rsidR="00BC754A" w:rsidRPr="00BC1743">
        <w:rPr>
          <w:lang w:val="fr-CA"/>
        </w:rPr>
        <w:t xml:space="preserve">) </w:t>
      </w:r>
      <w:r w:rsidR="00BC1743">
        <w:rPr>
          <w:lang w:val="fr-CA"/>
        </w:rPr>
        <w:t>relatives au point 1.6 de l’ordre du jour et les Adden</w:t>
      </w:r>
      <w:r w:rsidR="0097775C">
        <w:rPr>
          <w:lang w:val="fr-CA"/>
        </w:rPr>
        <w:t>da dans lesquels elles figurent</w:t>
      </w:r>
      <w:r w:rsidR="00BC754A" w:rsidRPr="00BC1743">
        <w:rPr>
          <w:lang w:val="fr-CA"/>
        </w:rPr>
        <w:t>:</w:t>
      </w:r>
    </w:p>
    <w:p w:rsidR="0097775C" w:rsidRPr="00BC1743" w:rsidRDefault="0097775C" w:rsidP="0097775C">
      <w:pPr>
        <w:rPr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5040"/>
        <w:gridCol w:w="1530"/>
        <w:gridCol w:w="1804"/>
      </w:tblGrid>
      <w:tr w:rsidR="00A7188C" w:rsidTr="000A26CC">
        <w:tc>
          <w:tcPr>
            <w:tcW w:w="1255" w:type="dxa"/>
          </w:tcPr>
          <w:p w:rsidR="00A7188C" w:rsidRDefault="00BC1743" w:rsidP="000A26CC">
            <w:pPr>
              <w:pStyle w:val="Tabletitle"/>
            </w:pPr>
            <w:r>
              <w:t>Sous point de l’ordre du jour</w:t>
            </w:r>
          </w:p>
        </w:tc>
        <w:tc>
          <w:tcPr>
            <w:tcW w:w="5040" w:type="dxa"/>
          </w:tcPr>
          <w:p w:rsidR="00A7188C" w:rsidRDefault="00A7188C" w:rsidP="000A26CC">
            <w:pPr>
              <w:pStyle w:val="Tabletitle"/>
            </w:pPr>
            <w:r>
              <w:t>Tit</w:t>
            </w:r>
            <w:r w:rsidR="00BC1743">
              <w:t>re</w:t>
            </w:r>
          </w:p>
        </w:tc>
        <w:tc>
          <w:tcPr>
            <w:tcW w:w="1530" w:type="dxa"/>
          </w:tcPr>
          <w:p w:rsidR="00A7188C" w:rsidRDefault="00A7188C" w:rsidP="000A26CC">
            <w:pPr>
              <w:pStyle w:val="Tabletitle"/>
            </w:pPr>
            <w:r>
              <w:t>Addendum No.</w:t>
            </w:r>
          </w:p>
        </w:tc>
        <w:tc>
          <w:tcPr>
            <w:tcW w:w="1804" w:type="dxa"/>
          </w:tcPr>
          <w:p w:rsidR="00A7188C" w:rsidRDefault="00A7188C" w:rsidP="000A26CC">
            <w:pPr>
              <w:pStyle w:val="Tabletitle"/>
            </w:pPr>
            <w:r>
              <w:t>ACP No.</w:t>
            </w:r>
          </w:p>
        </w:tc>
      </w:tr>
      <w:tr w:rsidR="00A7188C" w:rsidTr="000A26CC">
        <w:tc>
          <w:tcPr>
            <w:tcW w:w="1255" w:type="dxa"/>
          </w:tcPr>
          <w:p w:rsidR="00A7188C" w:rsidRDefault="00A7188C" w:rsidP="000A26CC">
            <w:pPr>
              <w:pStyle w:val="Tabletext"/>
            </w:pPr>
            <w:r>
              <w:t>1.6.1</w:t>
            </w:r>
          </w:p>
        </w:tc>
        <w:tc>
          <w:tcPr>
            <w:tcW w:w="5040" w:type="dxa"/>
          </w:tcPr>
          <w:p w:rsidR="00A7188C" w:rsidRPr="00BC754A" w:rsidRDefault="00BC754A" w:rsidP="000A26CC">
            <w:pPr>
              <w:pStyle w:val="Tabletext"/>
              <w:rPr>
                <w:lang w:val="fr-CH"/>
              </w:rPr>
            </w:pPr>
            <w:r w:rsidRPr="007B55A9">
              <w:rPr>
                <w:lang w:val="fr-CH"/>
              </w:rPr>
              <w:t xml:space="preserve">au </w:t>
            </w:r>
            <w:r w:rsidRPr="007B55A9">
              <w:rPr>
                <w:szCs w:val="24"/>
                <w:lang w:val="fr-CH"/>
              </w:rPr>
              <w:t>service</w:t>
            </w:r>
            <w:r w:rsidRPr="007B55A9">
              <w:rPr>
                <w:lang w:val="fr-CH"/>
              </w:rPr>
              <w:t xml:space="preserve"> fixe par </w:t>
            </w:r>
            <w:r w:rsidRPr="007B55A9">
              <w:rPr>
                <w:rFonts w:cs="Arial"/>
                <w:lang w:val="fr-CH"/>
              </w:rPr>
              <w:t>satellite</w:t>
            </w:r>
            <w:r w:rsidRPr="007B55A9">
              <w:rPr>
                <w:lang w:val="fr-CH"/>
              </w:rPr>
              <w:t xml:space="preserve"> (Terre vers espace et espace vers Terre) de 250 MHz dans la gamme comprise entre 10 GHz et 17 GHz dans la Région 1;</w:t>
            </w:r>
          </w:p>
        </w:tc>
        <w:tc>
          <w:tcPr>
            <w:tcW w:w="1530" w:type="dxa"/>
          </w:tcPr>
          <w:p w:rsidR="00A7188C" w:rsidRDefault="00A7188C" w:rsidP="000A26CC">
            <w:pPr>
              <w:pStyle w:val="Tabletext"/>
            </w:pPr>
            <w:r>
              <w:t>A6-A1</w:t>
            </w:r>
          </w:p>
        </w:tc>
        <w:tc>
          <w:tcPr>
            <w:tcW w:w="1804" w:type="dxa"/>
          </w:tcPr>
          <w:p w:rsidR="00A7188C" w:rsidRDefault="00A7188C" w:rsidP="00BC1743">
            <w:pPr>
              <w:pStyle w:val="Tabletext"/>
            </w:pPr>
            <w:r>
              <w:t xml:space="preserve">A6-A1/1 </w:t>
            </w:r>
            <w:r w:rsidR="00BC1743">
              <w:t>à</w:t>
            </w:r>
            <w:r>
              <w:t xml:space="preserve"> 18</w:t>
            </w:r>
          </w:p>
        </w:tc>
      </w:tr>
      <w:tr w:rsidR="00A7188C" w:rsidTr="000A26CC">
        <w:tc>
          <w:tcPr>
            <w:tcW w:w="1255" w:type="dxa"/>
          </w:tcPr>
          <w:p w:rsidR="00A7188C" w:rsidRDefault="00A7188C" w:rsidP="000A26CC">
            <w:pPr>
              <w:pStyle w:val="Tabletext"/>
            </w:pPr>
            <w:r>
              <w:t>1.6.2</w:t>
            </w:r>
          </w:p>
        </w:tc>
        <w:tc>
          <w:tcPr>
            <w:tcW w:w="5040" w:type="dxa"/>
          </w:tcPr>
          <w:p w:rsidR="00A7188C" w:rsidRPr="00BC754A" w:rsidRDefault="00BC754A" w:rsidP="000A26CC">
            <w:pPr>
              <w:pStyle w:val="Tabletext"/>
              <w:rPr>
                <w:lang w:val="fr-CH"/>
              </w:rPr>
            </w:pPr>
            <w:r w:rsidRPr="007B55A9">
              <w:rPr>
                <w:lang w:val="fr-CH"/>
              </w:rPr>
              <w:t>au service fixe par satellite (Terre vers espace) de 250 MHz dans la Région 2 et de 300 MHz dans la Région 3 dans la gamme 13-17 GHz;</w:t>
            </w:r>
          </w:p>
        </w:tc>
        <w:tc>
          <w:tcPr>
            <w:tcW w:w="1530" w:type="dxa"/>
          </w:tcPr>
          <w:p w:rsidR="00A7188C" w:rsidRDefault="00A7188C" w:rsidP="000A26CC">
            <w:pPr>
              <w:pStyle w:val="Tabletext"/>
            </w:pPr>
            <w:r>
              <w:t>A6-A2</w:t>
            </w:r>
          </w:p>
        </w:tc>
        <w:tc>
          <w:tcPr>
            <w:tcW w:w="1804" w:type="dxa"/>
          </w:tcPr>
          <w:p w:rsidR="00A7188C" w:rsidRDefault="00A7188C" w:rsidP="00BC1743">
            <w:pPr>
              <w:pStyle w:val="Tabletext"/>
            </w:pPr>
            <w:r>
              <w:t xml:space="preserve">A6-A2/1 </w:t>
            </w:r>
            <w:r w:rsidR="00BC1743">
              <w:t>à</w:t>
            </w:r>
            <w:r>
              <w:t xml:space="preserve"> 4</w:t>
            </w:r>
          </w:p>
        </w:tc>
      </w:tr>
    </w:tbl>
    <w:p w:rsidR="00E85525" w:rsidRDefault="00E85525" w:rsidP="0032202E">
      <w:pPr>
        <w:pStyle w:val="Reasons"/>
      </w:pPr>
    </w:p>
    <w:p w:rsidR="00531A7F" w:rsidRDefault="00531A7F" w:rsidP="0032202E">
      <w:pPr>
        <w:pStyle w:val="Reasons"/>
      </w:pPr>
    </w:p>
    <w:p w:rsidR="0015203F" w:rsidRDefault="00531A7F" w:rsidP="00531A7F">
      <w:pPr>
        <w:jc w:val="center"/>
      </w:pPr>
      <w:r>
        <w:t>______________</w:t>
      </w:r>
    </w:p>
    <w:sectPr w:rsidR="0015203F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7E8" w:rsidRDefault="001F17E8">
      <w:r>
        <w:separator/>
      </w:r>
    </w:p>
  </w:endnote>
  <w:endnote w:type="continuationSeparator" w:id="0">
    <w:p w:rsidR="001F17E8" w:rsidRDefault="001F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422AED">
      <w:rPr>
        <w:noProof/>
        <w:lang w:val="en-US"/>
      </w:rPr>
      <w:t>P:\FRA\ITU-R\CONF-R\CMR15\000\032ADD06F.docx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22AED">
      <w:rPr>
        <w:noProof/>
      </w:rPr>
      <w:t>08.10.15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22AED">
      <w:rPr>
        <w:noProof/>
      </w:rPr>
      <w:t>08.10.15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422AED">
      <w:rPr>
        <w:lang w:val="en-US"/>
      </w:rPr>
      <w:t>P:\FRA\ITU-R\CONF-R\CMR15\000\032ADD06F.docx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22AED">
      <w:t>08.10.15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22AED">
      <w:t>08.10.15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422AED">
      <w:rPr>
        <w:lang w:val="en-US"/>
      </w:rPr>
      <w:t>P:\FRA\ITU-R\CONF-R\CMR15\000\032ADD06F.docx</w:t>
    </w:r>
    <w:r>
      <w:fldChar w:fldCharType="end"/>
    </w:r>
    <w:r w:rsidR="00E85525">
      <w:t xml:space="preserve"> (387299)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22AED">
      <w:t>08.10.15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22AED">
      <w:t>08.10.15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7E8" w:rsidRDefault="001F17E8">
      <w:r>
        <w:rPr>
          <w:b/>
        </w:rPr>
        <w:t>_______________</w:t>
      </w:r>
    </w:p>
  </w:footnote>
  <w:footnote w:type="continuationSeparator" w:id="0">
    <w:p w:rsidR="001F17E8" w:rsidRDefault="001F1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531A7F">
      <w:rPr>
        <w:noProof/>
      </w:rPr>
      <w:t>2</w:t>
    </w:r>
    <w:r>
      <w:fldChar w:fldCharType="end"/>
    </w:r>
  </w:p>
  <w:p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32(Add.6)-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6648"/>
    <w:rsid w:val="0003522F"/>
    <w:rsid w:val="00080E2C"/>
    <w:rsid w:val="000A4755"/>
    <w:rsid w:val="000B2E0C"/>
    <w:rsid w:val="000B3D0C"/>
    <w:rsid w:val="001167B9"/>
    <w:rsid w:val="001267A0"/>
    <w:rsid w:val="0013014E"/>
    <w:rsid w:val="0015203F"/>
    <w:rsid w:val="00160C64"/>
    <w:rsid w:val="0018169B"/>
    <w:rsid w:val="0019352B"/>
    <w:rsid w:val="001960D0"/>
    <w:rsid w:val="001F17E8"/>
    <w:rsid w:val="00204306"/>
    <w:rsid w:val="00232FD2"/>
    <w:rsid w:val="0026554E"/>
    <w:rsid w:val="00292E70"/>
    <w:rsid w:val="002A4622"/>
    <w:rsid w:val="002A6F8F"/>
    <w:rsid w:val="002B17E5"/>
    <w:rsid w:val="002C0EBF"/>
    <w:rsid w:val="002C28A4"/>
    <w:rsid w:val="00315AFE"/>
    <w:rsid w:val="003606A6"/>
    <w:rsid w:val="0036650C"/>
    <w:rsid w:val="00393ACD"/>
    <w:rsid w:val="003A583E"/>
    <w:rsid w:val="003E112B"/>
    <w:rsid w:val="003E1D1C"/>
    <w:rsid w:val="003E7B05"/>
    <w:rsid w:val="00422AED"/>
    <w:rsid w:val="00466211"/>
    <w:rsid w:val="004834A9"/>
    <w:rsid w:val="004D01FC"/>
    <w:rsid w:val="004E28C3"/>
    <w:rsid w:val="004F1F8E"/>
    <w:rsid w:val="00512A32"/>
    <w:rsid w:val="00531A7F"/>
    <w:rsid w:val="00586CF2"/>
    <w:rsid w:val="005C3768"/>
    <w:rsid w:val="005C6C3F"/>
    <w:rsid w:val="00613635"/>
    <w:rsid w:val="0062093D"/>
    <w:rsid w:val="00637ECF"/>
    <w:rsid w:val="00647B59"/>
    <w:rsid w:val="00690C7B"/>
    <w:rsid w:val="006A4B45"/>
    <w:rsid w:val="006D4724"/>
    <w:rsid w:val="006F6113"/>
    <w:rsid w:val="00701BAE"/>
    <w:rsid w:val="00721F04"/>
    <w:rsid w:val="00730E95"/>
    <w:rsid w:val="007426B9"/>
    <w:rsid w:val="00764342"/>
    <w:rsid w:val="00774362"/>
    <w:rsid w:val="00786598"/>
    <w:rsid w:val="007A04E8"/>
    <w:rsid w:val="00851625"/>
    <w:rsid w:val="00863C0A"/>
    <w:rsid w:val="008A3120"/>
    <w:rsid w:val="008D41BE"/>
    <w:rsid w:val="008D58D3"/>
    <w:rsid w:val="00923064"/>
    <w:rsid w:val="00930FFD"/>
    <w:rsid w:val="00936D25"/>
    <w:rsid w:val="00941EA5"/>
    <w:rsid w:val="00964700"/>
    <w:rsid w:val="00966C16"/>
    <w:rsid w:val="0097775C"/>
    <w:rsid w:val="0098732F"/>
    <w:rsid w:val="009A045F"/>
    <w:rsid w:val="009C7E7C"/>
    <w:rsid w:val="00A00473"/>
    <w:rsid w:val="00A03C9B"/>
    <w:rsid w:val="00A37105"/>
    <w:rsid w:val="00A606C3"/>
    <w:rsid w:val="00A7188C"/>
    <w:rsid w:val="00A83B09"/>
    <w:rsid w:val="00A84541"/>
    <w:rsid w:val="00AB7B02"/>
    <w:rsid w:val="00AE36A0"/>
    <w:rsid w:val="00B00294"/>
    <w:rsid w:val="00B64FD0"/>
    <w:rsid w:val="00BA5BD0"/>
    <w:rsid w:val="00BB1D82"/>
    <w:rsid w:val="00BC1743"/>
    <w:rsid w:val="00BC754A"/>
    <w:rsid w:val="00BF26E7"/>
    <w:rsid w:val="00C53FCA"/>
    <w:rsid w:val="00C76BAF"/>
    <w:rsid w:val="00C814B9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E03A27"/>
    <w:rsid w:val="00E049F1"/>
    <w:rsid w:val="00E37A25"/>
    <w:rsid w:val="00E537FF"/>
    <w:rsid w:val="00E6539B"/>
    <w:rsid w:val="00E70A31"/>
    <w:rsid w:val="00E81FE4"/>
    <w:rsid w:val="00E85525"/>
    <w:rsid w:val="00EA3F38"/>
    <w:rsid w:val="00EA5AB6"/>
    <w:rsid w:val="00EC7615"/>
    <w:rsid w:val="00ED16AA"/>
    <w:rsid w:val="00EF662E"/>
    <w:rsid w:val="00F148F1"/>
    <w:rsid w:val="00FA3BBF"/>
    <w:rsid w:val="00FC41F8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566983D9-8C6B-4978-A03C-B647DD19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R15-WRC15-C-0032!A6!MSW-F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5EE614-4D96-47AB-962E-A8BB17BEE3CF}">
  <ds:schemaRefs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2a1a8c5-2265-4ebc-b7a0-2071e2c5c9bb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1309</Characters>
  <Application>Microsoft Office Word</Application>
  <DocSecurity>0</DocSecurity>
  <Lines>52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R15-WRC15-C-0032!A6!MSW-F</vt:lpstr>
    </vt:vector>
  </TitlesOfParts>
  <Manager>Secrétariat général - Pool</Manager>
  <Company>Union internationale des télécommunications (UIT)</Company>
  <LinksUpToDate>false</LinksUpToDate>
  <CharactersWithSpaces>1539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R15-WRC15-C-0032!A6!MSW-F</dc:title>
  <dc:subject>Conférence mondiale des radiocommunications - 2015</dc:subject>
  <dc:creator>Documents Proposals Manager (DPM)</dc:creator>
  <cp:keywords>DPM_v5.2015.9.16_prod</cp:keywords>
  <dc:description/>
  <cp:lastModifiedBy>Jones, Jacqueline</cp:lastModifiedBy>
  <cp:revision>6</cp:revision>
  <cp:lastPrinted>2015-10-08T11:08:00Z</cp:lastPrinted>
  <dcterms:created xsi:type="dcterms:W3CDTF">2015-10-07T14:28:00Z</dcterms:created>
  <dcterms:modified xsi:type="dcterms:W3CDTF">2015-10-08T11:08:00Z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