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90121B" w:rsidRPr="00471BFA" w:rsidTr="00A700DA">
        <w:trPr>
          <w:cantSplit/>
        </w:trPr>
        <w:tc>
          <w:tcPr>
            <w:tcW w:w="6804" w:type="dxa"/>
          </w:tcPr>
          <w:p w:rsidR="0090121B" w:rsidRPr="00471BFA" w:rsidRDefault="005D46FB" w:rsidP="0002785D">
            <w:pPr>
              <w:spacing w:before="400" w:after="48" w:line="240" w:lineRule="atLeast"/>
              <w:rPr>
                <w:rFonts w:ascii="Verdana" w:hAnsi="Verdana"/>
                <w:position w:val="6"/>
              </w:rPr>
            </w:pPr>
            <w:r w:rsidRPr="00471BFA">
              <w:rPr>
                <w:rFonts w:ascii="Verdana" w:hAnsi="Verdana" w:cs="Times"/>
                <w:b/>
                <w:position w:val="6"/>
                <w:sz w:val="20"/>
              </w:rPr>
              <w:t>Conferencia Mundial de Radiocomunicaciones (CMR-15)</w:t>
            </w:r>
            <w:r w:rsidRPr="00471BFA">
              <w:rPr>
                <w:rFonts w:ascii="Verdana" w:hAnsi="Verdana" w:cs="Times"/>
                <w:b/>
                <w:position w:val="6"/>
                <w:sz w:val="20"/>
              </w:rPr>
              <w:br/>
            </w:r>
            <w:r w:rsidRPr="00471BFA">
              <w:rPr>
                <w:rFonts w:ascii="Verdana" w:hAnsi="Verdana"/>
                <w:b/>
                <w:bCs/>
                <w:position w:val="6"/>
                <w:sz w:val="18"/>
                <w:szCs w:val="18"/>
              </w:rPr>
              <w:t>Ginebra, 2-27 de noviembre de 2015</w:t>
            </w:r>
          </w:p>
        </w:tc>
        <w:tc>
          <w:tcPr>
            <w:tcW w:w="3227" w:type="dxa"/>
          </w:tcPr>
          <w:p w:rsidR="0090121B" w:rsidRPr="00471BFA" w:rsidRDefault="00CE7431" w:rsidP="00CE7431">
            <w:pPr>
              <w:spacing w:before="0" w:line="240" w:lineRule="atLeast"/>
              <w:jc w:val="right"/>
            </w:pPr>
            <w:bookmarkStart w:id="0" w:name="ditulogo"/>
            <w:bookmarkEnd w:id="0"/>
            <w:r w:rsidRPr="00471BFA">
              <w:rPr>
                <w:noProof/>
                <w:lang w:eastAsia="zh-CN"/>
              </w:rPr>
              <w:drawing>
                <wp:inline distT="0" distB="0" distL="0" distR="0" wp14:anchorId="194DF12C" wp14:editId="5E29E280">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471BFA" w:rsidTr="00A700DA">
        <w:trPr>
          <w:cantSplit/>
        </w:trPr>
        <w:tc>
          <w:tcPr>
            <w:tcW w:w="6804" w:type="dxa"/>
            <w:tcBorders>
              <w:bottom w:val="single" w:sz="12" w:space="0" w:color="auto"/>
            </w:tcBorders>
          </w:tcPr>
          <w:p w:rsidR="0090121B" w:rsidRPr="00471BFA" w:rsidRDefault="00CE7431" w:rsidP="0090121B">
            <w:pPr>
              <w:spacing w:before="0" w:after="48" w:line="240" w:lineRule="atLeast"/>
              <w:rPr>
                <w:b/>
                <w:smallCaps/>
                <w:szCs w:val="24"/>
              </w:rPr>
            </w:pPr>
            <w:bookmarkStart w:id="1" w:name="dhead"/>
            <w:r w:rsidRPr="00471BFA">
              <w:rPr>
                <w:rFonts w:ascii="Verdana" w:hAnsi="Verdana"/>
                <w:b/>
                <w:smallCaps/>
                <w:sz w:val="20"/>
              </w:rPr>
              <w:t>UNIÓN INTERNACIONAL DE TELECOMUNICACIONES</w:t>
            </w:r>
          </w:p>
        </w:tc>
        <w:tc>
          <w:tcPr>
            <w:tcW w:w="3227" w:type="dxa"/>
            <w:tcBorders>
              <w:bottom w:val="single" w:sz="12" w:space="0" w:color="auto"/>
            </w:tcBorders>
          </w:tcPr>
          <w:p w:rsidR="0090121B" w:rsidRPr="00471BFA" w:rsidRDefault="0090121B" w:rsidP="0090121B">
            <w:pPr>
              <w:spacing w:before="0" w:line="240" w:lineRule="atLeast"/>
              <w:rPr>
                <w:rFonts w:ascii="Verdana" w:hAnsi="Verdana"/>
                <w:szCs w:val="24"/>
              </w:rPr>
            </w:pPr>
          </w:p>
        </w:tc>
      </w:tr>
      <w:tr w:rsidR="0090121B" w:rsidRPr="00471BFA" w:rsidTr="00A700DA">
        <w:trPr>
          <w:cantSplit/>
        </w:trPr>
        <w:tc>
          <w:tcPr>
            <w:tcW w:w="6804" w:type="dxa"/>
            <w:tcBorders>
              <w:top w:val="single" w:sz="12" w:space="0" w:color="auto"/>
            </w:tcBorders>
          </w:tcPr>
          <w:p w:rsidR="0090121B" w:rsidRPr="00471BFA" w:rsidRDefault="0090121B" w:rsidP="0090121B">
            <w:pPr>
              <w:spacing w:before="0" w:after="48" w:line="240" w:lineRule="atLeast"/>
              <w:rPr>
                <w:rFonts w:ascii="Verdana" w:hAnsi="Verdana"/>
                <w:b/>
                <w:smallCaps/>
                <w:sz w:val="20"/>
              </w:rPr>
            </w:pPr>
          </w:p>
        </w:tc>
        <w:tc>
          <w:tcPr>
            <w:tcW w:w="3227" w:type="dxa"/>
            <w:tcBorders>
              <w:top w:val="single" w:sz="12" w:space="0" w:color="auto"/>
            </w:tcBorders>
          </w:tcPr>
          <w:p w:rsidR="0090121B" w:rsidRPr="00471BFA" w:rsidRDefault="0090121B" w:rsidP="0090121B">
            <w:pPr>
              <w:spacing w:before="0" w:line="240" w:lineRule="atLeast"/>
              <w:rPr>
                <w:rFonts w:ascii="Verdana" w:hAnsi="Verdana"/>
                <w:sz w:val="20"/>
              </w:rPr>
            </w:pPr>
          </w:p>
        </w:tc>
      </w:tr>
      <w:tr w:rsidR="0090121B" w:rsidRPr="00471BFA" w:rsidTr="00A700DA">
        <w:trPr>
          <w:cantSplit/>
        </w:trPr>
        <w:tc>
          <w:tcPr>
            <w:tcW w:w="6804" w:type="dxa"/>
            <w:shd w:val="clear" w:color="auto" w:fill="auto"/>
          </w:tcPr>
          <w:p w:rsidR="0090121B" w:rsidRPr="00471BFA" w:rsidRDefault="00AE658F" w:rsidP="0045384C">
            <w:pPr>
              <w:spacing w:before="0"/>
              <w:rPr>
                <w:rFonts w:ascii="Verdana" w:hAnsi="Verdana"/>
                <w:b/>
                <w:sz w:val="20"/>
              </w:rPr>
            </w:pPr>
            <w:r w:rsidRPr="00471BFA">
              <w:rPr>
                <w:rFonts w:ascii="Verdana" w:hAnsi="Verdana"/>
                <w:b/>
                <w:sz w:val="20"/>
              </w:rPr>
              <w:t>SESIÓN PLENARIA</w:t>
            </w:r>
          </w:p>
        </w:tc>
        <w:tc>
          <w:tcPr>
            <w:tcW w:w="3227" w:type="dxa"/>
            <w:shd w:val="clear" w:color="auto" w:fill="auto"/>
          </w:tcPr>
          <w:p w:rsidR="0090121B" w:rsidRPr="00471BFA" w:rsidRDefault="00AE658F" w:rsidP="0045384C">
            <w:pPr>
              <w:spacing w:before="0"/>
              <w:rPr>
                <w:rFonts w:ascii="Verdana" w:hAnsi="Verdana"/>
                <w:sz w:val="20"/>
              </w:rPr>
            </w:pPr>
            <w:r w:rsidRPr="00471BFA">
              <w:rPr>
                <w:rFonts w:ascii="Verdana" w:eastAsia="SimSun" w:hAnsi="Verdana" w:cs="Traditional Arabic"/>
                <w:b/>
                <w:sz w:val="20"/>
              </w:rPr>
              <w:t>Addéndum 25 al</w:t>
            </w:r>
            <w:r w:rsidRPr="00471BFA">
              <w:rPr>
                <w:rFonts w:ascii="Verdana" w:eastAsia="SimSun" w:hAnsi="Verdana" w:cs="Traditional Arabic"/>
                <w:b/>
                <w:sz w:val="20"/>
              </w:rPr>
              <w:br/>
              <w:t>Documento 32</w:t>
            </w:r>
            <w:r w:rsidR="0090121B" w:rsidRPr="00471BFA">
              <w:rPr>
                <w:rFonts w:ascii="Verdana" w:hAnsi="Verdana"/>
                <w:b/>
                <w:sz w:val="20"/>
              </w:rPr>
              <w:t>-</w:t>
            </w:r>
            <w:r w:rsidRPr="00471BFA">
              <w:rPr>
                <w:rFonts w:ascii="Verdana" w:hAnsi="Verdana"/>
                <w:b/>
                <w:sz w:val="20"/>
              </w:rPr>
              <w:t>S</w:t>
            </w:r>
          </w:p>
        </w:tc>
      </w:tr>
      <w:bookmarkEnd w:id="1"/>
      <w:tr w:rsidR="000A5B9A" w:rsidRPr="00471BFA" w:rsidTr="00A700DA">
        <w:trPr>
          <w:cantSplit/>
        </w:trPr>
        <w:tc>
          <w:tcPr>
            <w:tcW w:w="6804" w:type="dxa"/>
            <w:shd w:val="clear" w:color="auto" w:fill="auto"/>
          </w:tcPr>
          <w:p w:rsidR="000A5B9A" w:rsidRPr="00471BFA" w:rsidRDefault="000A5B9A" w:rsidP="0045384C">
            <w:pPr>
              <w:spacing w:before="0" w:after="48"/>
              <w:rPr>
                <w:rFonts w:ascii="Verdana" w:hAnsi="Verdana"/>
                <w:b/>
                <w:smallCaps/>
                <w:sz w:val="20"/>
              </w:rPr>
            </w:pPr>
          </w:p>
        </w:tc>
        <w:tc>
          <w:tcPr>
            <w:tcW w:w="3227" w:type="dxa"/>
            <w:shd w:val="clear" w:color="auto" w:fill="auto"/>
          </w:tcPr>
          <w:p w:rsidR="000A5B9A" w:rsidRPr="00471BFA" w:rsidRDefault="000A5B9A" w:rsidP="0045384C">
            <w:pPr>
              <w:spacing w:before="0"/>
              <w:rPr>
                <w:rFonts w:ascii="Verdana" w:hAnsi="Verdana"/>
                <w:b/>
                <w:sz w:val="20"/>
              </w:rPr>
            </w:pPr>
            <w:r w:rsidRPr="00471BFA">
              <w:rPr>
                <w:rFonts w:ascii="Verdana" w:hAnsi="Verdana"/>
                <w:b/>
                <w:sz w:val="20"/>
              </w:rPr>
              <w:t>29 de septiembre de 2015</w:t>
            </w:r>
          </w:p>
        </w:tc>
      </w:tr>
      <w:tr w:rsidR="000A5B9A" w:rsidRPr="00471BFA" w:rsidTr="00A700DA">
        <w:trPr>
          <w:cantSplit/>
        </w:trPr>
        <w:tc>
          <w:tcPr>
            <w:tcW w:w="6804" w:type="dxa"/>
          </w:tcPr>
          <w:p w:rsidR="000A5B9A" w:rsidRPr="00471BFA" w:rsidRDefault="000A5B9A" w:rsidP="0045384C">
            <w:pPr>
              <w:spacing w:before="0" w:after="48"/>
              <w:rPr>
                <w:rFonts w:ascii="Verdana" w:hAnsi="Verdana"/>
                <w:b/>
                <w:smallCaps/>
                <w:sz w:val="20"/>
              </w:rPr>
            </w:pPr>
          </w:p>
        </w:tc>
        <w:tc>
          <w:tcPr>
            <w:tcW w:w="3227" w:type="dxa"/>
          </w:tcPr>
          <w:p w:rsidR="000A5B9A" w:rsidRPr="00471BFA" w:rsidRDefault="000A5B9A" w:rsidP="0045384C">
            <w:pPr>
              <w:spacing w:before="0"/>
              <w:rPr>
                <w:rFonts w:ascii="Verdana" w:hAnsi="Verdana"/>
                <w:b/>
                <w:sz w:val="20"/>
              </w:rPr>
            </w:pPr>
            <w:r w:rsidRPr="00471BFA">
              <w:rPr>
                <w:rFonts w:ascii="Verdana" w:hAnsi="Verdana"/>
                <w:b/>
                <w:sz w:val="20"/>
              </w:rPr>
              <w:t>Original: inglés</w:t>
            </w:r>
          </w:p>
        </w:tc>
      </w:tr>
      <w:tr w:rsidR="000A5B9A" w:rsidRPr="00471BFA" w:rsidTr="006744FC">
        <w:trPr>
          <w:cantSplit/>
        </w:trPr>
        <w:tc>
          <w:tcPr>
            <w:tcW w:w="10031" w:type="dxa"/>
            <w:gridSpan w:val="2"/>
          </w:tcPr>
          <w:p w:rsidR="000A5B9A" w:rsidRPr="00471BFA" w:rsidRDefault="000A5B9A" w:rsidP="0045384C">
            <w:pPr>
              <w:spacing w:before="0"/>
              <w:rPr>
                <w:rFonts w:ascii="Verdana" w:hAnsi="Verdana"/>
                <w:b/>
                <w:sz w:val="20"/>
              </w:rPr>
            </w:pPr>
          </w:p>
        </w:tc>
      </w:tr>
      <w:tr w:rsidR="000A5B9A" w:rsidRPr="00471BFA" w:rsidTr="0050008E">
        <w:trPr>
          <w:cantSplit/>
        </w:trPr>
        <w:tc>
          <w:tcPr>
            <w:tcW w:w="10031" w:type="dxa"/>
            <w:gridSpan w:val="2"/>
          </w:tcPr>
          <w:p w:rsidR="000A5B9A" w:rsidRPr="00471BFA" w:rsidRDefault="000A5B9A" w:rsidP="000A5B9A">
            <w:pPr>
              <w:pStyle w:val="Source"/>
            </w:pPr>
            <w:bookmarkStart w:id="2" w:name="dsource" w:colFirst="0" w:colLast="0"/>
            <w:r w:rsidRPr="00471BFA">
              <w:t>Propuestas Comunes de la Telecomunidad Asia-Pacífico</w:t>
            </w:r>
          </w:p>
        </w:tc>
      </w:tr>
      <w:tr w:rsidR="000A5B9A" w:rsidRPr="00471BFA" w:rsidTr="0050008E">
        <w:trPr>
          <w:cantSplit/>
        </w:trPr>
        <w:tc>
          <w:tcPr>
            <w:tcW w:w="10031" w:type="dxa"/>
            <w:gridSpan w:val="2"/>
          </w:tcPr>
          <w:p w:rsidR="000A5B9A" w:rsidRPr="00471BFA" w:rsidRDefault="009A7ADC" w:rsidP="000A5B9A">
            <w:pPr>
              <w:pStyle w:val="Title1"/>
            </w:pPr>
            <w:bookmarkStart w:id="3" w:name="dtitle1" w:colFirst="0" w:colLast="0"/>
            <w:bookmarkEnd w:id="2"/>
            <w:r w:rsidRPr="00471BFA">
              <w:t>PROPUESTAS PARA LOS TRABAJOS DE LA CONFERENCIA</w:t>
            </w:r>
          </w:p>
        </w:tc>
      </w:tr>
      <w:tr w:rsidR="000A5B9A" w:rsidRPr="00471BFA" w:rsidTr="0050008E">
        <w:trPr>
          <w:cantSplit/>
        </w:trPr>
        <w:tc>
          <w:tcPr>
            <w:tcW w:w="10031" w:type="dxa"/>
            <w:gridSpan w:val="2"/>
          </w:tcPr>
          <w:p w:rsidR="000A5B9A" w:rsidRPr="00471BFA" w:rsidRDefault="000A5B9A" w:rsidP="000A5B9A">
            <w:pPr>
              <w:pStyle w:val="Title2"/>
            </w:pPr>
            <w:bookmarkStart w:id="4" w:name="dtitle2" w:colFirst="0" w:colLast="0"/>
            <w:bookmarkEnd w:id="3"/>
          </w:p>
        </w:tc>
      </w:tr>
      <w:tr w:rsidR="000A5B9A" w:rsidRPr="00471BFA" w:rsidTr="0050008E">
        <w:trPr>
          <w:cantSplit/>
        </w:trPr>
        <w:tc>
          <w:tcPr>
            <w:tcW w:w="10031" w:type="dxa"/>
            <w:gridSpan w:val="2"/>
          </w:tcPr>
          <w:p w:rsidR="000A5B9A" w:rsidRPr="00471BFA" w:rsidRDefault="000A5B9A" w:rsidP="000A5B9A">
            <w:pPr>
              <w:pStyle w:val="Agendaitem"/>
            </w:pPr>
            <w:bookmarkStart w:id="5" w:name="dtitle3" w:colFirst="0" w:colLast="0"/>
            <w:bookmarkEnd w:id="4"/>
            <w:r w:rsidRPr="00471BFA">
              <w:t>Punto GFT(PP-14) del orden del día</w:t>
            </w:r>
          </w:p>
        </w:tc>
      </w:tr>
    </w:tbl>
    <w:bookmarkEnd w:id="5"/>
    <w:p w:rsidR="00816F18" w:rsidRPr="00471BFA" w:rsidRDefault="00725DF5" w:rsidP="00F97BD8">
      <w:pPr>
        <w:pStyle w:val="Normalaftertitle"/>
      </w:pPr>
      <w:r w:rsidRPr="00471BFA">
        <w:t>Resolución 185 (Busán, 2014)</w:t>
      </w:r>
      <w:r w:rsidRPr="00471BFA">
        <w:tab/>
        <w:t>Seguimiento mundial de vuelos de la aviación civil - La Conferencia de Plenipotenciarios de la Unión Internacional de Telecomunicaciones (Busán, 2014), resuelve encargar a la CMR-15, de conformidad con el número 119 del Convenio de la UIT, que incorpore en su orden del día, con carácter urgente, el examen del seguimiento mundial de vuelos, incluyendo, de ser apropiado y en consonancia con las prácticas de la UIT, los diversos aspectos relacionados, teniendo en cuenta los estudios llevados a cabo por el UIT-R,</w:t>
      </w:r>
      <w:bookmarkStart w:id="6" w:name="_GoBack"/>
      <w:bookmarkEnd w:id="6"/>
    </w:p>
    <w:p w:rsidR="004E2885" w:rsidRPr="00471BFA" w:rsidRDefault="004E2885" w:rsidP="004E2885">
      <w:pPr>
        <w:pStyle w:val="Headingb"/>
      </w:pPr>
      <w:r w:rsidRPr="00471BFA">
        <w:t>Introducción</w:t>
      </w:r>
    </w:p>
    <w:p w:rsidR="004E2885" w:rsidRPr="00471BFA" w:rsidRDefault="00471BFA" w:rsidP="00162F96">
      <w:r>
        <w:rPr>
          <w:rFonts w:eastAsia="MS Mincho"/>
          <w:lang w:eastAsia="ja-JP"/>
        </w:rPr>
        <w:t>Los Miembros de la APT apoyan lo siguiente:</w:t>
      </w:r>
    </w:p>
    <w:p w:rsidR="004E2885" w:rsidRPr="00471BFA" w:rsidRDefault="00FE4DCF" w:rsidP="00F440C7">
      <w:pPr>
        <w:pStyle w:val="enumlev1"/>
      </w:pPr>
      <w:r w:rsidRPr="007D5D5A">
        <w:t>−</w:t>
      </w:r>
      <w:r w:rsidR="004E2885" w:rsidRPr="00471BFA">
        <w:tab/>
      </w:r>
      <w:r w:rsidR="00471BFA" w:rsidRPr="00471BFA">
        <w:t>consideración</w:t>
      </w:r>
      <w:r w:rsidR="004E2885" w:rsidRPr="00471BFA">
        <w:t xml:space="preserve"> </w:t>
      </w:r>
      <w:r w:rsidR="00471BFA">
        <w:t>del s</w:t>
      </w:r>
      <w:r w:rsidR="00471BFA" w:rsidRPr="00471BFA">
        <w:t>eguimiento mundial de vuelos de la aviación civil</w:t>
      </w:r>
      <w:r w:rsidR="00471BFA">
        <w:t xml:space="preserve"> (GFT),</w:t>
      </w:r>
      <w:r w:rsidR="00471BFA" w:rsidRPr="00471BFA">
        <w:t xml:space="preserve"> </w:t>
      </w:r>
      <w:r w:rsidR="00471BFA">
        <w:t xml:space="preserve">de acuerdo con lo dispuesto en la </w:t>
      </w:r>
      <w:r w:rsidR="00471BFA" w:rsidRPr="00471BFA">
        <w:t>Resolución</w:t>
      </w:r>
      <w:r w:rsidR="004E2885" w:rsidRPr="00471BFA">
        <w:t xml:space="preserve"> 185 (</w:t>
      </w:r>
      <w:r w:rsidR="00471BFA" w:rsidRPr="00471BFA">
        <w:t>Busán</w:t>
      </w:r>
      <w:r w:rsidR="004E2885" w:rsidRPr="00471BFA">
        <w:t>, 2014)</w:t>
      </w:r>
      <w:r w:rsidR="00471BFA">
        <w:t xml:space="preserve"> de la Co</w:t>
      </w:r>
      <w:r w:rsidR="00A442A7">
        <w:t xml:space="preserve">nferencia de Plenipotenciarios </w:t>
      </w:r>
      <w:r w:rsidR="00471BFA">
        <w:t>de la UIT, durante la CMR</w:t>
      </w:r>
      <w:r w:rsidR="004E2885" w:rsidRPr="00471BFA">
        <w:t>-15;</w:t>
      </w:r>
    </w:p>
    <w:p w:rsidR="004E2885" w:rsidRPr="00471BFA" w:rsidRDefault="00FE4DCF" w:rsidP="00F440C7">
      <w:pPr>
        <w:pStyle w:val="enumlev1"/>
      </w:pPr>
      <w:r w:rsidRPr="007D5D5A">
        <w:t>−</w:t>
      </w:r>
      <w:r w:rsidR="004E2885" w:rsidRPr="00471BFA">
        <w:tab/>
      </w:r>
      <w:r w:rsidR="00471BFA">
        <w:t>los estudios relativos al s</w:t>
      </w:r>
      <w:r w:rsidR="00471BFA" w:rsidRPr="00471BFA">
        <w:t xml:space="preserve">eguimiento mundial de vuelos de la aviación civil </w:t>
      </w:r>
      <w:r w:rsidR="00471BFA">
        <w:t xml:space="preserve">en curso en el Sector de Radiocomunicaciones de la UIT (UIT-R), incluidos los Grupos de Trabajo </w:t>
      </w:r>
      <w:r w:rsidR="004E2885" w:rsidRPr="00471BFA">
        <w:t xml:space="preserve">5B </w:t>
      </w:r>
      <w:r w:rsidR="00471BFA">
        <w:t>y 4C, al tiempo que se tiene en cuenta la adecuada protección de los servicios existentes</w:t>
      </w:r>
      <w:r w:rsidR="004E2885" w:rsidRPr="00471BFA">
        <w:t>;</w:t>
      </w:r>
    </w:p>
    <w:p w:rsidR="004E2885" w:rsidRPr="00471BFA" w:rsidRDefault="00FE4DCF" w:rsidP="00F440C7">
      <w:pPr>
        <w:pStyle w:val="enumlev1"/>
      </w:pPr>
      <w:r w:rsidRPr="007D5D5A">
        <w:t>−</w:t>
      </w:r>
      <w:r w:rsidR="004E2885" w:rsidRPr="00471BFA">
        <w:tab/>
      </w:r>
      <w:r w:rsidR="00471BFA">
        <w:t xml:space="preserve">ninguna disposición reglamentaria en materia de </w:t>
      </w:r>
      <w:r w:rsidR="004E2885" w:rsidRPr="00471BFA">
        <w:t xml:space="preserve">GFT </w:t>
      </w:r>
      <w:r w:rsidR="00471BFA">
        <w:t>limitará los sistemas que funcionan en los servicios de se</w:t>
      </w:r>
      <w:r w:rsidR="00AB7A32">
        <w:t>guridad aeronáutica existentes;</w:t>
      </w:r>
    </w:p>
    <w:p w:rsidR="004E2885" w:rsidRPr="00471BFA" w:rsidRDefault="00FE4DCF" w:rsidP="00F440C7">
      <w:pPr>
        <w:pStyle w:val="enumlev1"/>
      </w:pPr>
      <w:r w:rsidRPr="007D5D5A">
        <w:t>−</w:t>
      </w:r>
      <w:r w:rsidR="004E2885" w:rsidRPr="00471BFA">
        <w:tab/>
      </w:r>
      <w:r w:rsidR="00471BFA">
        <w:t>examen de cualquier posible método, tecnología o solución que pueda contribuir al objetivo del seguimiento mundial de vuelos</w:t>
      </w:r>
      <w:r w:rsidR="004E2885" w:rsidRPr="00471BFA">
        <w:t>.</w:t>
      </w:r>
    </w:p>
    <w:p w:rsidR="00131B33" w:rsidRDefault="00131B33" w:rsidP="00F440C7">
      <w:pPr>
        <w:pStyle w:val="Headingb"/>
      </w:pPr>
      <w:r>
        <w:lastRenderedPageBreak/>
        <w:br w:type="page"/>
      </w:r>
    </w:p>
    <w:p w:rsidR="004E2885" w:rsidRPr="00471BFA" w:rsidRDefault="004E2885" w:rsidP="00F440C7">
      <w:pPr>
        <w:pStyle w:val="Headingb"/>
      </w:pPr>
      <w:r w:rsidRPr="00471BFA">
        <w:t>Propuesta</w:t>
      </w:r>
    </w:p>
    <w:p w:rsidR="00291F76" w:rsidRPr="00471BFA" w:rsidRDefault="00725DF5" w:rsidP="00F440C7">
      <w:pPr>
        <w:pStyle w:val="Proposal"/>
      </w:pPr>
      <w:r w:rsidRPr="00471BFA">
        <w:tab/>
        <w:t>ASP/32A25/1</w:t>
      </w:r>
    </w:p>
    <w:p w:rsidR="00291F76" w:rsidRPr="00471BFA" w:rsidRDefault="007359EA" w:rsidP="00F440C7">
      <w:r>
        <w:t>Habida cuenta de lo anterior, los Miembros de la APT invitan a la CMR-15 a reconocer la im</w:t>
      </w:r>
      <w:r w:rsidR="00A442A7">
        <w:t xml:space="preserve">portancia y urgencia de tratar </w:t>
      </w:r>
      <w:r>
        <w:t>el s</w:t>
      </w:r>
      <w:r w:rsidR="00471BFA" w:rsidRPr="00471BFA">
        <w:t>eguimiento mundial de vuelos de la aviación civil</w:t>
      </w:r>
      <w:r w:rsidR="00C832BF" w:rsidRPr="00471BFA">
        <w:t xml:space="preserve">, </w:t>
      </w:r>
      <w:r w:rsidR="00F440C7">
        <w:t xml:space="preserve">teniendo en cuenta el resultado de los estudios disponibles hasta la fecha y el </w:t>
      </w:r>
      <w:r w:rsidR="00A617D8">
        <w:t xml:space="preserve">Informe </w:t>
      </w:r>
      <w:r w:rsidR="00F440C7">
        <w:t xml:space="preserve">del Director de la BR, a fin de responder a la instrucción dada en la </w:t>
      </w:r>
      <w:r w:rsidR="00471BFA" w:rsidRPr="00471BFA">
        <w:t>Resolución</w:t>
      </w:r>
      <w:r w:rsidR="00C832BF" w:rsidRPr="00471BFA">
        <w:t xml:space="preserve"> 185 (</w:t>
      </w:r>
      <w:r w:rsidR="00471BFA" w:rsidRPr="00471BFA">
        <w:t>Busán</w:t>
      </w:r>
      <w:r w:rsidR="00C832BF" w:rsidRPr="00471BFA">
        <w:t>, 2014)</w:t>
      </w:r>
      <w:r w:rsidR="00F440C7">
        <w:t xml:space="preserve"> de la PP-14</w:t>
      </w:r>
      <w:r w:rsidR="00C832BF" w:rsidRPr="00471BFA">
        <w:t>.</w:t>
      </w:r>
    </w:p>
    <w:p w:rsidR="00C832BF" w:rsidRPr="00471BFA" w:rsidRDefault="00C832BF" w:rsidP="0032202E">
      <w:pPr>
        <w:pStyle w:val="Reasons"/>
      </w:pPr>
    </w:p>
    <w:p w:rsidR="00291F76" w:rsidRPr="00471BFA" w:rsidRDefault="00C832BF" w:rsidP="00131B33">
      <w:pPr>
        <w:jc w:val="center"/>
      </w:pPr>
      <w:r w:rsidRPr="00471BFA">
        <w:t>______________</w:t>
      </w:r>
    </w:p>
    <w:sectPr w:rsidR="00291F76" w:rsidRPr="00471BFA">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E5622B">
      <w:rPr>
        <w:noProof/>
      </w:rPr>
      <w:t>06.10.15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1C1" w:rsidRDefault="00FE31C1" w:rsidP="00FE31C1">
    <w:pPr>
      <w:pStyle w:val="Footer"/>
      <w:rPr>
        <w:lang w:val="en-US"/>
      </w:rPr>
    </w:pPr>
    <w:r>
      <w:fldChar w:fldCharType="begin"/>
    </w:r>
    <w:r>
      <w:rPr>
        <w:lang w:val="en-US"/>
      </w:rPr>
      <w:instrText xml:space="preserve"> FILENAME \p  \* MERGEFORMAT </w:instrText>
    </w:r>
    <w:r>
      <w:fldChar w:fldCharType="separate"/>
    </w:r>
    <w:r w:rsidR="00E5622B">
      <w:rPr>
        <w:lang w:val="en-US"/>
      </w:rPr>
      <w:t>P:\ESP\ITU-R\CONF-R\CMR15\000\032ADD25S.docx</w:t>
    </w:r>
    <w:r>
      <w:fldChar w:fldCharType="end"/>
    </w:r>
    <w:r w:rsidRPr="009A7ADC">
      <w:rPr>
        <w:lang w:val="en-US"/>
      </w:rPr>
      <w:t xml:space="preserve"> (387361)</w:t>
    </w:r>
    <w:r>
      <w:rPr>
        <w:lang w:val="en-US"/>
      </w:rPr>
      <w:tab/>
    </w:r>
    <w:r>
      <w:fldChar w:fldCharType="begin"/>
    </w:r>
    <w:r>
      <w:instrText xml:space="preserve"> SAVEDATE \@ DD.MM.YY </w:instrText>
    </w:r>
    <w:r>
      <w:fldChar w:fldCharType="separate"/>
    </w:r>
    <w:r w:rsidR="00E5622B">
      <w:t>06.10.15</w:t>
    </w:r>
    <w:r>
      <w:fldChar w:fldCharType="end"/>
    </w:r>
    <w:r>
      <w:rPr>
        <w:lang w:val="en-US"/>
      </w:rPr>
      <w:tab/>
    </w:r>
    <w:r>
      <w:fldChar w:fldCharType="begin"/>
    </w:r>
    <w:r>
      <w:instrText xml:space="preserve"> PRINTDATE \@ DD.MM.YY </w:instrText>
    </w:r>
    <w:r>
      <w:fldChar w:fldCharType="separate"/>
    </w:r>
    <w:r w:rsidR="00E5622B">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rPr>
        <w:lang w:val="en-US"/>
      </w:rPr>
    </w:pPr>
    <w:r>
      <w:fldChar w:fldCharType="begin"/>
    </w:r>
    <w:r>
      <w:rPr>
        <w:lang w:val="en-US"/>
      </w:rPr>
      <w:instrText xml:space="preserve"> FILENAME \p  \* MERGEFORMAT </w:instrText>
    </w:r>
    <w:r>
      <w:fldChar w:fldCharType="separate"/>
    </w:r>
    <w:r w:rsidR="00E5622B">
      <w:rPr>
        <w:lang w:val="en-US"/>
      </w:rPr>
      <w:t>P:\ESP\ITU-R\CONF-R\CMR15\000\032ADD25S.docx</w:t>
    </w:r>
    <w:r>
      <w:fldChar w:fldCharType="end"/>
    </w:r>
    <w:r w:rsidR="00FE31C1" w:rsidRPr="009A7ADC">
      <w:rPr>
        <w:lang w:val="en-US"/>
      </w:rPr>
      <w:t xml:space="preserve"> (387361)</w:t>
    </w:r>
    <w:r>
      <w:rPr>
        <w:lang w:val="en-US"/>
      </w:rPr>
      <w:tab/>
    </w:r>
    <w:r>
      <w:fldChar w:fldCharType="begin"/>
    </w:r>
    <w:r>
      <w:instrText xml:space="preserve"> SAVEDATE \@ DD.MM.YY </w:instrText>
    </w:r>
    <w:r>
      <w:fldChar w:fldCharType="separate"/>
    </w:r>
    <w:r w:rsidR="00E5622B">
      <w:t>06.10.15</w:t>
    </w:r>
    <w:r>
      <w:fldChar w:fldCharType="end"/>
    </w:r>
    <w:r>
      <w:rPr>
        <w:lang w:val="en-US"/>
      </w:rPr>
      <w:tab/>
    </w:r>
    <w:r>
      <w:fldChar w:fldCharType="begin"/>
    </w:r>
    <w:r>
      <w:instrText xml:space="preserve"> PRINTDATE \@ DD.MM.YY </w:instrText>
    </w:r>
    <w:r>
      <w:fldChar w:fldCharType="separate"/>
    </w:r>
    <w:r w:rsidR="00E5622B">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D2C02">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32(Add.25)-</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E46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8A2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2A51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86C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B05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EEA2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AB6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A658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5475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C099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31B33"/>
    <w:rsid w:val="0015142D"/>
    <w:rsid w:val="001616DC"/>
    <w:rsid w:val="00162F96"/>
    <w:rsid w:val="00163962"/>
    <w:rsid w:val="00191A97"/>
    <w:rsid w:val="001A083F"/>
    <w:rsid w:val="001C41FA"/>
    <w:rsid w:val="001E2B52"/>
    <w:rsid w:val="001E3F27"/>
    <w:rsid w:val="00236D2A"/>
    <w:rsid w:val="00255F12"/>
    <w:rsid w:val="00262C09"/>
    <w:rsid w:val="00291F76"/>
    <w:rsid w:val="002A791F"/>
    <w:rsid w:val="002C1B26"/>
    <w:rsid w:val="002C5D6C"/>
    <w:rsid w:val="002E701F"/>
    <w:rsid w:val="003248A9"/>
    <w:rsid w:val="00324FFA"/>
    <w:rsid w:val="0032680B"/>
    <w:rsid w:val="00363A65"/>
    <w:rsid w:val="003B1E8C"/>
    <w:rsid w:val="003B7280"/>
    <w:rsid w:val="003C2508"/>
    <w:rsid w:val="003D0AA3"/>
    <w:rsid w:val="003D315B"/>
    <w:rsid w:val="00440B3A"/>
    <w:rsid w:val="0045384C"/>
    <w:rsid w:val="00454553"/>
    <w:rsid w:val="00471BFA"/>
    <w:rsid w:val="004B124A"/>
    <w:rsid w:val="004E2885"/>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25DF5"/>
    <w:rsid w:val="007354E9"/>
    <w:rsid w:val="007359EA"/>
    <w:rsid w:val="00765578"/>
    <w:rsid w:val="0077084A"/>
    <w:rsid w:val="007952C7"/>
    <w:rsid w:val="007C0B95"/>
    <w:rsid w:val="007C2317"/>
    <w:rsid w:val="007D330A"/>
    <w:rsid w:val="00866AE6"/>
    <w:rsid w:val="008750A8"/>
    <w:rsid w:val="008E5AF2"/>
    <w:rsid w:val="0090121B"/>
    <w:rsid w:val="009144C9"/>
    <w:rsid w:val="0094091F"/>
    <w:rsid w:val="0096708A"/>
    <w:rsid w:val="00973754"/>
    <w:rsid w:val="009A7ADC"/>
    <w:rsid w:val="009C0BED"/>
    <w:rsid w:val="009E11EC"/>
    <w:rsid w:val="00A118DB"/>
    <w:rsid w:val="00A442A7"/>
    <w:rsid w:val="00A4450C"/>
    <w:rsid w:val="00A617D8"/>
    <w:rsid w:val="00A700DA"/>
    <w:rsid w:val="00AA5E6C"/>
    <w:rsid w:val="00AB7A32"/>
    <w:rsid w:val="00AE5677"/>
    <w:rsid w:val="00AE658F"/>
    <w:rsid w:val="00AF2F78"/>
    <w:rsid w:val="00B239FA"/>
    <w:rsid w:val="00B52D55"/>
    <w:rsid w:val="00B8288C"/>
    <w:rsid w:val="00BE2E80"/>
    <w:rsid w:val="00BE5EDD"/>
    <w:rsid w:val="00BE6A1F"/>
    <w:rsid w:val="00C126C4"/>
    <w:rsid w:val="00C42CF6"/>
    <w:rsid w:val="00C450D4"/>
    <w:rsid w:val="00C63EB5"/>
    <w:rsid w:val="00C832BF"/>
    <w:rsid w:val="00CB6D5D"/>
    <w:rsid w:val="00CC01E0"/>
    <w:rsid w:val="00CD5FEE"/>
    <w:rsid w:val="00CE60D2"/>
    <w:rsid w:val="00CE7431"/>
    <w:rsid w:val="00D0288A"/>
    <w:rsid w:val="00D72A5D"/>
    <w:rsid w:val="00DC629B"/>
    <w:rsid w:val="00E05BFF"/>
    <w:rsid w:val="00E262F1"/>
    <w:rsid w:val="00E3176A"/>
    <w:rsid w:val="00E54754"/>
    <w:rsid w:val="00E5622B"/>
    <w:rsid w:val="00E56BD3"/>
    <w:rsid w:val="00E67ACE"/>
    <w:rsid w:val="00E71D14"/>
    <w:rsid w:val="00ED2C02"/>
    <w:rsid w:val="00F440C7"/>
    <w:rsid w:val="00F66597"/>
    <w:rsid w:val="00F675D0"/>
    <w:rsid w:val="00F8150C"/>
    <w:rsid w:val="00F97BD8"/>
    <w:rsid w:val="00FE31C1"/>
    <w:rsid w:val="00FE4574"/>
    <w:rsid w:val="00FE4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6E32E46-1D80-4CB0-A84B-E02C640C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CommentTextChar">
    <w:name w:val="Comment Text Char"/>
    <w:basedOn w:val="DefaultParagraphFont"/>
    <w:link w:val="CommentText"/>
    <w:semiHidden/>
    <w:rsid w:val="004E2885"/>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R15-WRC15-C-0032!A25!MSW-S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C8BD7FDE-0A16-4F07-BCC5-A1E68E3E6F27}">
  <ds:schemaRefs>
    <ds:schemaRef ds:uri="http://schemas.openxmlformats.org/package/2006/metadata/core-properties"/>
    <ds:schemaRef ds:uri="http://purl.org/dc/dcmitype/"/>
    <ds:schemaRef ds:uri="http://schemas.microsoft.com/office/2006/metadata/properties"/>
    <ds:schemaRef ds:uri="32a1a8c5-2265-4ebc-b7a0-2071e2c5c9bb"/>
    <ds:schemaRef ds:uri="996b2e75-67fd-4955-a3b0-5ab9934cb50b"/>
    <ds:schemaRef ds:uri="http://purl.org/dc/elements/1.1/"/>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5D5199C7-B2E0-467A-B187-E7232FA62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333</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R15-WRC15-C-0032!A25!MSW-S</vt:lpstr>
    </vt:vector>
  </TitlesOfParts>
  <Manager>Secretaría General - Pool</Manager>
  <Company>Unión Internacional de Telecomunicaciones (UIT)</Company>
  <LinksUpToDate>false</LinksUpToDate>
  <CharactersWithSpaces>2137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R15-WRC15-C-0032!A25!MSW-S</dc:title>
  <dc:subject>Conferencia Mundial de Radiocomunicaciones - 2015</dc:subject>
  <dc:creator>Documents Proposals Manager (DPM)</dc:creator>
  <cp:keywords>DPM_v5.2015.9.16_prod</cp:keywords>
  <dc:description/>
  <cp:lastModifiedBy>Saez Grau, Ricardo</cp:lastModifiedBy>
  <cp:revision>14</cp:revision>
  <cp:lastPrinted>2003-02-19T20:20:00Z</cp:lastPrinted>
  <dcterms:created xsi:type="dcterms:W3CDTF">2015-10-06T12:36:00Z</dcterms:created>
  <dcterms:modified xsi:type="dcterms:W3CDTF">2015-10-06T12:40:00Z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