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11"/>
        <w:gridCol w:w="3261"/>
      </w:tblGrid>
      <w:tr w:rsidR="00280E04" w:rsidTr="00464B13">
        <w:trPr>
          <w:cantSplit/>
          <w:trHeight w:val="20"/>
        </w:trPr>
        <w:tc>
          <w:tcPr>
            <w:tcW w:w="6411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261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464B13">
        <w:trPr>
          <w:cantSplit/>
          <w:trHeight w:val="20"/>
        </w:trPr>
        <w:tc>
          <w:tcPr>
            <w:tcW w:w="6411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464B13">
        <w:trPr>
          <w:cantSplit/>
          <w:trHeight w:val="20"/>
        </w:trPr>
        <w:tc>
          <w:tcPr>
            <w:tcW w:w="6411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464B13">
        <w:trPr>
          <w:cantSplit/>
        </w:trPr>
        <w:tc>
          <w:tcPr>
            <w:tcW w:w="6411" w:type="dxa"/>
            <w:shd w:val="clear" w:color="auto" w:fill="auto"/>
          </w:tcPr>
          <w:p w:rsidR="003E1608" w:rsidRPr="00464B13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</w:rPr>
            </w:pPr>
            <w:r w:rsidRPr="00464B13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E1608" w:rsidRPr="00464B13" w:rsidRDefault="003E1608" w:rsidP="00464B13">
            <w:pPr>
              <w:pStyle w:val="Adress"/>
              <w:framePr w:hSpace="0" w:wrap="auto" w:xAlign="left" w:yAlign="inline"/>
              <w:rPr>
                <w:rtl/>
              </w:rPr>
            </w:pPr>
            <w:r w:rsidRPr="00464B13">
              <w:rPr>
                <w:rtl/>
              </w:rPr>
              <w:t xml:space="preserve">الإضافة </w:t>
            </w:r>
            <w:r w:rsidRPr="00464B13">
              <w:t>6</w:t>
            </w:r>
            <w:r w:rsidRPr="00464B13">
              <w:br/>
            </w:r>
            <w:r w:rsidRPr="00464B13">
              <w:rPr>
                <w:rtl/>
              </w:rPr>
              <w:t xml:space="preserve">للوثيقة </w:t>
            </w:r>
            <w:r w:rsidRPr="00464B13">
              <w:t>32(Add.23)(Add.1)-</w:t>
            </w:r>
            <w:r w:rsidR="00464B13">
              <w:t>A</w:t>
            </w:r>
          </w:p>
        </w:tc>
      </w:tr>
      <w:tr w:rsidR="00764079" w:rsidTr="00464B13">
        <w:trPr>
          <w:cantSplit/>
        </w:trPr>
        <w:tc>
          <w:tcPr>
            <w:tcW w:w="6411" w:type="dxa"/>
            <w:shd w:val="clear" w:color="auto" w:fill="auto"/>
          </w:tcPr>
          <w:p w:rsidR="00764079" w:rsidRPr="00464B1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64079" w:rsidRPr="00464B1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464B13">
              <w:rPr>
                <w:rFonts w:eastAsia="SimSun"/>
              </w:rPr>
              <w:t>29</w:t>
            </w:r>
            <w:r w:rsidRPr="00464B13">
              <w:rPr>
                <w:rFonts w:eastAsia="SimSun"/>
                <w:rtl/>
              </w:rPr>
              <w:t xml:space="preserve"> سبتمبر </w:t>
            </w:r>
            <w:r w:rsidRPr="00464B13">
              <w:rPr>
                <w:rFonts w:eastAsia="SimSun"/>
              </w:rPr>
              <w:t>2015</w:t>
            </w:r>
          </w:p>
        </w:tc>
      </w:tr>
      <w:tr w:rsidR="00764079" w:rsidTr="00464B13">
        <w:trPr>
          <w:cantSplit/>
        </w:trPr>
        <w:tc>
          <w:tcPr>
            <w:tcW w:w="6411" w:type="dxa"/>
          </w:tcPr>
          <w:p w:rsidR="00764079" w:rsidRPr="00464B1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261" w:type="dxa"/>
            <w:vAlign w:val="center"/>
          </w:tcPr>
          <w:p w:rsidR="00764079" w:rsidRPr="00464B1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464B13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464B1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D56F5D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ال‍مؤت‍مر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56F5D">
            <w:pPr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D56F5D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D56F5D">
              <w:t>(6.1.9)1.9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534840" w:rsidRPr="00431196" w:rsidRDefault="0085607E" w:rsidP="00D339B0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9</w:t>
      </w:r>
      <w:r w:rsidRPr="00431196">
        <w:rPr>
          <w:rFonts w:eastAsia="SimSun" w:hint="cs"/>
          <w:rtl/>
        </w:rPr>
        <w:tab/>
        <w:t>النظر في تقرير مدير مكتب الاتصالات الراديوية وإقراره، وفقاً للمادة</w:t>
      </w:r>
      <w:r w:rsidR="00D339B0">
        <w:rPr>
          <w:rFonts w:eastAsia="SimSun" w:hint="eastAsia"/>
          <w:rtl/>
        </w:rPr>
        <w:t> </w:t>
      </w: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 xml:space="preserve"> من الاتفاقية:</w:t>
      </w:r>
    </w:p>
    <w:p w:rsidR="00BE4A66" w:rsidRPr="00431196" w:rsidRDefault="0085607E" w:rsidP="00D339B0">
      <w:pPr>
        <w:rPr>
          <w:rFonts w:eastAsia="SimSun"/>
          <w:rtl/>
        </w:rPr>
      </w:pPr>
      <w:r w:rsidRPr="00431196">
        <w:rPr>
          <w:rFonts w:eastAsia="SimSun"/>
        </w:rPr>
        <w:t>1.9</w:t>
      </w:r>
      <w:r w:rsidRPr="00431196">
        <w:rPr>
          <w:rFonts w:eastAsia="SimSun" w:hint="cs"/>
          <w:rtl/>
        </w:rPr>
        <w:tab/>
        <w:t>بشأن أنشطة قطاع الاتصالات الراديوية منذ المؤتمر العالمي للاتصالات الراديوية لعام</w:t>
      </w:r>
      <w:r w:rsidR="00D339B0">
        <w:rPr>
          <w:rFonts w:eastAsia="SimSun" w:hint="eastAsia"/>
          <w:rtl/>
        </w:rPr>
        <w:t> </w:t>
      </w:r>
      <w:r w:rsidRPr="00431196">
        <w:rPr>
          <w:rFonts w:eastAsia="SimSun"/>
        </w:rPr>
        <w:t>2012</w:t>
      </w:r>
      <w:r w:rsidRPr="00431196">
        <w:rPr>
          <w:rFonts w:eastAsia="SimSun" w:hint="cs"/>
          <w:rtl/>
        </w:rPr>
        <w:t>؛</w:t>
      </w:r>
    </w:p>
    <w:p w:rsidR="00534840" w:rsidRPr="00431196" w:rsidRDefault="0085607E" w:rsidP="001E5E0E">
      <w:pPr>
        <w:rPr>
          <w:rFonts w:eastAsia="SimSun"/>
        </w:rPr>
      </w:pPr>
      <w:r w:rsidRPr="00431196">
        <w:rPr>
          <w:rFonts w:eastAsia="SimSun"/>
          <w:lang w:bidi="ar-SY"/>
        </w:rPr>
        <w:t>(</w:t>
      </w:r>
      <w:r w:rsidRPr="00431196">
        <w:rPr>
          <w:rFonts w:eastAsia="SimSun"/>
        </w:rPr>
        <w:t>6.1.9</w:t>
      </w:r>
      <w:r w:rsidRPr="00431196">
        <w:rPr>
          <w:rFonts w:eastAsia="SimSun"/>
          <w:lang w:bidi="ar-SY"/>
        </w:rPr>
        <w:t>)1.9</w:t>
      </w:r>
      <w:r w:rsidRPr="00431196">
        <w:rPr>
          <w:rFonts w:eastAsia="SimSun"/>
          <w:rtl/>
        </w:rPr>
        <w:tab/>
      </w:r>
      <w:r w:rsidR="001E5E0E">
        <w:rPr>
          <w:rFonts w:eastAsia="SimSun" w:hint="cs"/>
          <w:rtl/>
        </w:rPr>
        <w:t>الق</w:t>
      </w:r>
      <w:r w:rsidRPr="00431196">
        <w:rPr>
          <w:rFonts w:eastAsia="SimSun" w:hint="cs"/>
          <w:rtl/>
        </w:rPr>
        <w:t>رار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/>
          <w:b/>
          <w:bCs/>
        </w:rPr>
        <w:t>957 (WRC-12)</w:t>
      </w:r>
      <w:r w:rsidRPr="00431196">
        <w:rPr>
          <w:rFonts w:eastAsia="SimSun" w:hint="cs"/>
          <w:rtl/>
        </w:rPr>
        <w:t xml:space="preserve"> - إجراء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دراسات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بهدف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استعراض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تعاريف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الخدمة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الثابتة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والمحطة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الثابتة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والمحطة</w:t>
      </w:r>
      <w:r w:rsidR="001E5E0E">
        <w:rPr>
          <w:rFonts w:eastAsia="SimSun" w:hint="cs"/>
          <w:rtl/>
        </w:rPr>
        <w:t> </w:t>
      </w:r>
      <w:r w:rsidRPr="00431196">
        <w:rPr>
          <w:rFonts w:eastAsia="SimSun" w:hint="cs"/>
          <w:rtl/>
        </w:rPr>
        <w:t>المتنقلة</w:t>
      </w:r>
    </w:p>
    <w:p w:rsidR="00F16602" w:rsidRDefault="00D67FC5" w:rsidP="003B0F87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3B0F87" w:rsidRPr="009F0E8B" w:rsidRDefault="003B0F87" w:rsidP="00D339B0">
      <w:pPr>
        <w:rPr>
          <w:rtl/>
        </w:rPr>
      </w:pPr>
      <w:r w:rsidRPr="009F0E8B">
        <w:rPr>
          <w:rtl/>
        </w:rPr>
        <w:t>أجرى قطاع الاتصالات الراديوية في الاتحاد دراسات وفقا</w:t>
      </w:r>
      <w:r w:rsidRPr="009F0E8B">
        <w:rPr>
          <w:rFonts w:hint="cs"/>
          <w:rtl/>
        </w:rPr>
        <w:t>ً</w:t>
      </w:r>
      <w:r w:rsidRPr="009F0E8B">
        <w:rPr>
          <w:rtl/>
        </w:rPr>
        <w:t xml:space="preserve"> للقرار </w:t>
      </w:r>
      <w:r w:rsidRPr="007A160D">
        <w:rPr>
          <w:bCs/>
        </w:rPr>
        <w:t>957 (WRC</w:t>
      </w:r>
      <w:r w:rsidR="00D339B0" w:rsidRPr="007A160D">
        <w:rPr>
          <w:bCs/>
        </w:rPr>
        <w:noBreakHyphen/>
      </w:r>
      <w:r w:rsidRPr="007A160D">
        <w:rPr>
          <w:bCs/>
        </w:rPr>
        <w:t>12)</w:t>
      </w:r>
      <w:r w:rsidRPr="007A160D">
        <w:rPr>
          <w:rFonts w:hint="cs"/>
          <w:bCs/>
          <w:rtl/>
        </w:rPr>
        <w:t>.</w:t>
      </w:r>
      <w:r w:rsidRPr="009F0E8B">
        <w:rPr>
          <w:b/>
          <w:rtl/>
        </w:rPr>
        <w:t xml:space="preserve"> وروجعت بدقة خلال فترة الدراسة المذكورة تعاريف </w:t>
      </w:r>
      <w:r w:rsidRPr="009F0E8B">
        <w:rPr>
          <w:b/>
          <w:i/>
          <w:iCs/>
          <w:rtl/>
        </w:rPr>
        <w:t>الخدمة الثابتة</w:t>
      </w:r>
      <w:r w:rsidRPr="009F0E8B">
        <w:rPr>
          <w:b/>
          <w:rtl/>
        </w:rPr>
        <w:t>، و</w:t>
      </w:r>
      <w:r w:rsidRPr="009F0E8B">
        <w:rPr>
          <w:b/>
          <w:i/>
          <w:iCs/>
          <w:rtl/>
        </w:rPr>
        <w:t>المحطة الثابتة</w:t>
      </w:r>
      <w:r w:rsidRPr="009F0E8B">
        <w:rPr>
          <w:b/>
          <w:rtl/>
        </w:rPr>
        <w:t>، و</w:t>
      </w:r>
      <w:r w:rsidRPr="009F0E8B">
        <w:rPr>
          <w:b/>
          <w:i/>
          <w:iCs/>
          <w:rtl/>
        </w:rPr>
        <w:t>المحطة المتنقلة</w:t>
      </w:r>
      <w:r w:rsidRPr="009F0E8B">
        <w:rPr>
          <w:b/>
          <w:rtl/>
        </w:rPr>
        <w:t xml:space="preserve">، إلى جانب </w:t>
      </w:r>
      <w:r w:rsidRPr="009F0E8B">
        <w:rPr>
          <w:rtl/>
        </w:rPr>
        <w:t>دراسة الأثر المحتمل على الإجراءات التنظيمية في لوائح الراديو</w:t>
      </w:r>
      <w:r w:rsidRPr="009F0E8B">
        <w:rPr>
          <w:rFonts w:hint="cs"/>
          <w:rtl/>
        </w:rPr>
        <w:t> </w:t>
      </w:r>
      <w:r w:rsidRPr="009F0E8B">
        <w:t>(RR)</w:t>
      </w:r>
      <w:r w:rsidRPr="009F0E8B">
        <w:rPr>
          <w:rFonts w:hint="cs"/>
          <w:rtl/>
        </w:rPr>
        <w:t xml:space="preserve"> </w:t>
      </w:r>
      <w:r w:rsidRPr="009F0E8B">
        <w:rPr>
          <w:rtl/>
        </w:rPr>
        <w:t>(التنسيق والتبليغ والتسجيل) والأثر على تخصيصات التردد الحالية والخدمات الأخرى نتيجة للتغييرات المحتملة في التعاريف</w:t>
      </w:r>
      <w:r w:rsidRPr="009F0E8B">
        <w:rPr>
          <w:rFonts w:hint="cs"/>
          <w:rtl/>
        </w:rPr>
        <w:t>.</w:t>
      </w:r>
    </w:p>
    <w:p w:rsidR="003B0F87" w:rsidRDefault="006A73C6" w:rsidP="007A160D">
      <w:pPr>
        <w:rPr>
          <w:rtl/>
          <w:lang w:bidi="ar-EG"/>
        </w:rPr>
      </w:pPr>
      <w:r>
        <w:rPr>
          <w:color w:val="000000"/>
          <w:rtl/>
        </w:rPr>
        <w:t>ووفقاً للمساهمات وبيانات الاتصال، قام قطاع الاتصالات الراديوية بالاتحاد بعد مناقشات شاملة بإعداد اعتبار تنظيمي وإجرائي واحد يتمثل في إلغاء القرار</w:t>
      </w:r>
      <w:r w:rsidR="00D339B0">
        <w:rPr>
          <w:rFonts w:hint="cs"/>
          <w:color w:val="000000"/>
          <w:rtl/>
        </w:rPr>
        <w:t> </w:t>
      </w:r>
      <w:r w:rsidR="00A446D3">
        <w:rPr>
          <w:color w:val="000000"/>
        </w:rPr>
        <w:t>957 </w:t>
      </w:r>
      <w:r>
        <w:rPr>
          <w:color w:val="000000"/>
        </w:rPr>
        <w:t>(WRC</w:t>
      </w:r>
      <w:r w:rsidR="00D339B0">
        <w:rPr>
          <w:color w:val="000000"/>
        </w:rPr>
        <w:noBreakHyphen/>
      </w:r>
      <w:r>
        <w:rPr>
          <w:color w:val="000000"/>
        </w:rPr>
        <w:t>12)</w:t>
      </w:r>
      <w:r w:rsidR="00A446D3">
        <w:rPr>
          <w:rFonts w:hint="cs"/>
          <w:color w:val="000000"/>
          <w:rtl/>
        </w:rPr>
        <w:t xml:space="preserve"> ل</w:t>
      </w:r>
      <w:r>
        <w:rPr>
          <w:color w:val="000000"/>
          <w:rtl/>
        </w:rPr>
        <w:t>لوفاء بالمسألة</w:t>
      </w:r>
      <w:r w:rsidR="00D339B0">
        <w:rPr>
          <w:rFonts w:hint="cs"/>
          <w:color w:val="000000"/>
          <w:rtl/>
        </w:rPr>
        <w:t> </w:t>
      </w:r>
      <w:r w:rsidR="00A446D3">
        <w:rPr>
          <w:color w:val="000000"/>
        </w:rPr>
        <w:t>6.1.9</w:t>
      </w:r>
      <w:r>
        <w:rPr>
          <w:color w:val="000000"/>
          <w:rtl/>
        </w:rPr>
        <w:t xml:space="preserve"> من البند</w:t>
      </w:r>
      <w:r w:rsidR="00D339B0">
        <w:rPr>
          <w:rFonts w:hint="cs"/>
          <w:color w:val="000000"/>
          <w:rtl/>
        </w:rPr>
        <w:t> </w:t>
      </w:r>
      <w:r w:rsidR="00A446D3">
        <w:rPr>
          <w:color w:val="000000"/>
        </w:rPr>
        <w:t>1.9</w:t>
      </w:r>
      <w:r>
        <w:rPr>
          <w:color w:val="000000"/>
          <w:rtl/>
        </w:rPr>
        <w:t xml:space="preserve"> من جدول الأعمال، على أن</w:t>
      </w:r>
      <w:r w:rsidR="00D339B0">
        <w:rPr>
          <w:rFonts w:hint="cs"/>
          <w:color w:val="000000"/>
          <w:rtl/>
        </w:rPr>
        <w:t> </w:t>
      </w:r>
      <w:r>
        <w:rPr>
          <w:color w:val="000000"/>
          <w:rtl/>
        </w:rPr>
        <w:t>يراعى أن</w:t>
      </w:r>
      <w:r w:rsidR="00D339B0">
        <w:rPr>
          <w:rFonts w:hint="cs"/>
          <w:color w:val="000000"/>
          <w:rtl/>
        </w:rPr>
        <w:t> </w:t>
      </w:r>
      <w:r>
        <w:rPr>
          <w:color w:val="000000"/>
          <w:rtl/>
        </w:rPr>
        <w:t xml:space="preserve">الإبقاء على التعاريف الحالية </w:t>
      </w:r>
      <w:r w:rsidRPr="00A446D3">
        <w:rPr>
          <w:i/>
          <w:iCs/>
          <w:color w:val="000000"/>
          <w:rtl/>
        </w:rPr>
        <w:t>للخدمة الثابتة، والمحطة الثابتة، والمحطة المتنقلة</w:t>
      </w:r>
      <w:r>
        <w:rPr>
          <w:color w:val="000000"/>
          <w:rtl/>
        </w:rPr>
        <w:t xml:space="preserve"> في المادة</w:t>
      </w:r>
      <w:r w:rsidR="00D339B0">
        <w:rPr>
          <w:rFonts w:hint="cs"/>
          <w:color w:val="000000"/>
          <w:rtl/>
        </w:rPr>
        <w:t> </w:t>
      </w:r>
      <w:r w:rsidR="00A446D3">
        <w:rPr>
          <w:color w:val="000000"/>
        </w:rPr>
        <w:t>1</w:t>
      </w:r>
      <w:r>
        <w:rPr>
          <w:color w:val="000000"/>
          <w:rtl/>
        </w:rPr>
        <w:t xml:space="preserve"> من لوائح الراديو قادر على التكيف مع تطور التكنولوجيا وأن هناك مرونة كافية في لوائح الراديو</w:t>
      </w:r>
      <w:r w:rsidR="007A160D">
        <w:rPr>
          <w:rFonts w:hint="cs"/>
          <w:color w:val="000000"/>
          <w:rtl/>
        </w:rPr>
        <w:t> </w:t>
      </w:r>
      <w:r>
        <w:rPr>
          <w:color w:val="000000"/>
          <w:rtl/>
        </w:rPr>
        <w:t>الحالية</w:t>
      </w:r>
      <w:r>
        <w:rPr>
          <w:color w:val="000000"/>
        </w:rPr>
        <w:t>.</w:t>
      </w:r>
    </w:p>
    <w:p w:rsidR="003B0F87" w:rsidRDefault="00D339B0" w:rsidP="003B0F87">
      <w:pPr>
        <w:pStyle w:val="Headingb"/>
      </w:pPr>
      <w:r>
        <w:rPr>
          <w:rFonts w:hint="cs"/>
          <w:rtl/>
        </w:rPr>
        <w:t>ال</w:t>
      </w:r>
      <w:r w:rsidR="003B0F87">
        <w:rPr>
          <w:rFonts w:hint="cs"/>
          <w:rtl/>
        </w:rPr>
        <w:t>مقترحات</w:t>
      </w:r>
    </w:p>
    <w:p w:rsidR="002919E1" w:rsidRPr="002919E1" w:rsidRDefault="00AC3ACD" w:rsidP="00D339B0">
      <w:pPr>
        <w:rPr>
          <w:noProof/>
          <w:rtl/>
        </w:rPr>
      </w:pPr>
      <w:r>
        <w:rPr>
          <w:rFonts w:hint="cs"/>
          <w:rtl/>
          <w:lang w:bidi="ar-EG"/>
        </w:rPr>
        <w:t xml:space="preserve">يؤيد أعضاء جماعة آسيا والمحيط الهادئ </w:t>
      </w:r>
      <w:r w:rsidR="00535809">
        <w:rPr>
          <w:rFonts w:hint="cs"/>
          <w:rtl/>
          <w:lang w:bidi="ar-EG"/>
        </w:rPr>
        <w:t>تأييداً تاماً</w:t>
      </w:r>
      <w:r>
        <w:rPr>
          <w:rFonts w:hint="cs"/>
          <w:rtl/>
          <w:lang w:bidi="ar-EG"/>
        </w:rPr>
        <w:t xml:space="preserve"> استنتاجات قطاع الاتصالات الراديوية </w:t>
      </w:r>
      <w:r w:rsidR="00E525DF">
        <w:rPr>
          <w:rFonts w:hint="cs"/>
          <w:rtl/>
          <w:lang w:bidi="ar-EG"/>
        </w:rPr>
        <w:t>المتعلقة بالبند</w:t>
      </w:r>
      <w:r w:rsidR="00D339B0">
        <w:rPr>
          <w:rFonts w:hint="eastAsia"/>
          <w:rtl/>
          <w:lang w:bidi="ar-EG"/>
        </w:rPr>
        <w:t> </w:t>
      </w:r>
      <w:r w:rsidR="00E525DF">
        <w:rPr>
          <w:lang w:bidi="ar-EG"/>
        </w:rPr>
        <w:t>1.9</w:t>
      </w:r>
      <w:r w:rsidR="00E525DF">
        <w:rPr>
          <w:rFonts w:hint="cs"/>
          <w:rtl/>
          <w:lang w:bidi="ar-EG"/>
        </w:rPr>
        <w:t>، المسألة</w:t>
      </w:r>
      <w:r w:rsidR="00D339B0">
        <w:rPr>
          <w:rFonts w:hint="eastAsia"/>
          <w:rtl/>
          <w:lang w:bidi="ar-EG"/>
        </w:rPr>
        <w:t> </w:t>
      </w:r>
      <w:r w:rsidR="00624E8E">
        <w:rPr>
          <w:lang w:bidi="ar-EG"/>
        </w:rPr>
        <w:t>6</w:t>
      </w:r>
      <w:r w:rsidR="00E525DF">
        <w:rPr>
          <w:lang w:bidi="ar-EG"/>
        </w:rPr>
        <w:t>.1.</w:t>
      </w:r>
      <w:r w:rsidR="00624E8E">
        <w:rPr>
          <w:lang w:bidi="ar-EG"/>
        </w:rPr>
        <w:t>9</w:t>
      </w:r>
      <w:r w:rsidR="00E525DF">
        <w:rPr>
          <w:rFonts w:hint="cs"/>
          <w:rtl/>
          <w:lang w:bidi="ar-EG"/>
        </w:rPr>
        <w:t>، على النحو المبين</w:t>
      </w:r>
      <w:r>
        <w:rPr>
          <w:rFonts w:hint="cs"/>
          <w:rtl/>
          <w:lang w:bidi="ar-EG"/>
        </w:rPr>
        <w:t xml:space="preserve"> في تقرير الاجتماع التحضيري للمؤتمر</w:t>
      </w:r>
      <w:r w:rsidR="00535809">
        <w:rPr>
          <w:rFonts w:hint="cs"/>
          <w:rtl/>
          <w:lang w:bidi="ar-EG"/>
        </w:rPr>
        <w:t>،</w:t>
      </w:r>
      <w:r>
        <w:rPr>
          <w:rFonts w:hint="cs"/>
          <w:rtl/>
          <w:lang w:bidi="ar-EG"/>
        </w:rPr>
        <w:t xml:space="preserve"> التي تتمثل في عدم تعديل لوائح الراديو باستثناء إلغاء القرار</w:t>
      </w:r>
      <w:r w:rsidR="00D339B0">
        <w:rPr>
          <w:rFonts w:hint="eastAsia"/>
          <w:rtl/>
          <w:lang w:bidi="ar-EG"/>
        </w:rPr>
        <w:t> </w:t>
      </w:r>
      <w:r>
        <w:rPr>
          <w:lang w:bidi="ar-EG"/>
        </w:rPr>
        <w:t>957 (WRC</w:t>
      </w:r>
      <w:r w:rsidR="00D339B0">
        <w:rPr>
          <w:lang w:bidi="ar-EG"/>
        </w:rPr>
        <w:noBreakHyphen/>
      </w:r>
      <w:r>
        <w:rPr>
          <w:lang w:bidi="ar-EG"/>
        </w:rPr>
        <w:t>12)</w:t>
      </w:r>
      <w:r>
        <w:rPr>
          <w:rFonts w:hint="cs"/>
          <w:rtl/>
          <w:lang w:bidi="ar-EG"/>
        </w:rPr>
        <w:t>.</w:t>
      </w:r>
      <w:r w:rsidR="008F4626" w:rsidRPr="002919E1">
        <w:rPr>
          <w:rtl/>
        </w:rPr>
        <w:br w:type="page"/>
      </w:r>
    </w:p>
    <w:p w:rsidR="006503AC" w:rsidRDefault="0085607E">
      <w:pPr>
        <w:pStyle w:val="Proposal"/>
      </w:pPr>
      <w:r>
        <w:rPr>
          <w:u w:val="single"/>
        </w:rPr>
        <w:lastRenderedPageBreak/>
        <w:t>NOC</w:t>
      </w:r>
      <w:r>
        <w:tab/>
        <w:t>ASP/32A23A1A6/1</w:t>
      </w:r>
    </w:p>
    <w:p w:rsidR="009F37C9" w:rsidRDefault="0085607E" w:rsidP="009F37C9">
      <w:pPr>
        <w:pStyle w:val="ArtNo"/>
        <w:spacing w:before="0"/>
        <w:rPr>
          <w:rtl/>
        </w:rPr>
      </w:pPr>
      <w:bookmarkStart w:id="1" w:name="_Toc331055722"/>
      <w:r>
        <w:rPr>
          <w:rtl/>
        </w:rPr>
        <w:t xml:space="preserve">المـادة </w:t>
      </w:r>
      <w:r w:rsidRPr="00C41504">
        <w:rPr>
          <w:rStyle w:val="href"/>
        </w:rPr>
        <w:t>1</w:t>
      </w:r>
      <w:bookmarkEnd w:id="1"/>
    </w:p>
    <w:p w:rsidR="009F37C9" w:rsidRPr="007C08E6" w:rsidRDefault="0085607E" w:rsidP="009F37C9">
      <w:pPr>
        <w:pStyle w:val="Arttitle"/>
        <w:rPr>
          <w:b w:val="0"/>
          <w:rtl/>
        </w:rPr>
      </w:pPr>
      <w:bookmarkStart w:id="2" w:name="_Toc331055723"/>
      <w:r w:rsidRPr="007C08E6">
        <w:rPr>
          <w:b w:val="0"/>
          <w:rtl/>
        </w:rPr>
        <w:t>مصطلحات وتعريفات</w:t>
      </w:r>
      <w:bookmarkEnd w:id="2"/>
    </w:p>
    <w:p w:rsidR="006503AC" w:rsidRPr="00FE6A72" w:rsidRDefault="0085607E" w:rsidP="007A160D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FE6A72" w:rsidRPr="00FE6A72">
        <w:rPr>
          <w:b w:val="0"/>
          <w:bCs w:val="0"/>
          <w:spacing w:val="-2"/>
          <w:rtl/>
        </w:rPr>
        <w:t>للوفاء بالمسألة</w:t>
      </w:r>
      <w:r w:rsidR="00D339B0">
        <w:rPr>
          <w:rFonts w:hint="cs"/>
          <w:b w:val="0"/>
          <w:bCs w:val="0"/>
          <w:spacing w:val="-2"/>
          <w:rtl/>
        </w:rPr>
        <w:t> </w:t>
      </w:r>
      <w:r w:rsidR="00FE6A72" w:rsidRPr="00FE6A72">
        <w:rPr>
          <w:b w:val="0"/>
          <w:bCs w:val="0"/>
          <w:spacing w:val="-2"/>
        </w:rPr>
        <w:t>6.1.9</w:t>
      </w:r>
      <w:r w:rsidR="00FE6A72" w:rsidRPr="00FE6A72">
        <w:rPr>
          <w:b w:val="0"/>
          <w:bCs w:val="0"/>
          <w:spacing w:val="-2"/>
          <w:rtl/>
        </w:rPr>
        <w:t xml:space="preserve"> من البند</w:t>
      </w:r>
      <w:r w:rsidR="00D339B0">
        <w:rPr>
          <w:rFonts w:hint="cs"/>
          <w:b w:val="0"/>
          <w:bCs w:val="0"/>
          <w:spacing w:val="-2"/>
          <w:rtl/>
        </w:rPr>
        <w:t> </w:t>
      </w:r>
      <w:r w:rsidR="00FE6A72" w:rsidRPr="00FE6A72">
        <w:rPr>
          <w:b w:val="0"/>
          <w:bCs w:val="0"/>
          <w:spacing w:val="-2"/>
        </w:rPr>
        <w:t>1.9</w:t>
      </w:r>
      <w:r w:rsidR="00FE6A72" w:rsidRPr="00FE6A72">
        <w:rPr>
          <w:b w:val="0"/>
          <w:bCs w:val="0"/>
          <w:spacing w:val="-2"/>
          <w:rtl/>
        </w:rPr>
        <w:t xml:space="preserve"> من جدول الأعمال، على أن يراعى أن الإبقاء</w:t>
      </w:r>
      <w:r w:rsidR="00FE6A72" w:rsidRPr="00FE6A72">
        <w:rPr>
          <w:b w:val="0"/>
          <w:bCs w:val="0"/>
          <w:rtl/>
        </w:rPr>
        <w:t xml:space="preserve"> على التعاريف الحالية </w:t>
      </w:r>
      <w:r w:rsidR="00FE6A72" w:rsidRPr="00FE6A72">
        <w:rPr>
          <w:b w:val="0"/>
          <w:bCs w:val="0"/>
          <w:i/>
          <w:iCs/>
          <w:rtl/>
        </w:rPr>
        <w:t>للخدمة الثابتة</w:t>
      </w:r>
      <w:r w:rsidR="00FE6A72" w:rsidRPr="00FE6A72">
        <w:rPr>
          <w:b w:val="0"/>
          <w:bCs w:val="0"/>
          <w:rtl/>
        </w:rPr>
        <w:t>، و</w:t>
      </w:r>
      <w:r w:rsidR="00FE6A72" w:rsidRPr="00FE6A72">
        <w:rPr>
          <w:b w:val="0"/>
          <w:bCs w:val="0"/>
          <w:i/>
          <w:iCs/>
          <w:rtl/>
        </w:rPr>
        <w:t>المحطة الثابتة</w:t>
      </w:r>
      <w:r w:rsidR="00FE6A72" w:rsidRPr="00FE6A72">
        <w:rPr>
          <w:b w:val="0"/>
          <w:bCs w:val="0"/>
          <w:rtl/>
        </w:rPr>
        <w:t>، و</w:t>
      </w:r>
      <w:r w:rsidR="00FE6A72" w:rsidRPr="00FE6A72">
        <w:rPr>
          <w:b w:val="0"/>
          <w:bCs w:val="0"/>
          <w:i/>
          <w:iCs/>
          <w:rtl/>
        </w:rPr>
        <w:t>المحطة المتنقلة</w:t>
      </w:r>
      <w:r w:rsidR="00FE6A72" w:rsidRPr="00FE6A72">
        <w:rPr>
          <w:b w:val="0"/>
          <w:bCs w:val="0"/>
          <w:rtl/>
        </w:rPr>
        <w:t xml:space="preserve"> في المادة</w:t>
      </w:r>
      <w:r w:rsidR="00DC783C">
        <w:rPr>
          <w:rFonts w:hint="cs"/>
          <w:b w:val="0"/>
          <w:bCs w:val="0"/>
          <w:rtl/>
        </w:rPr>
        <w:t> </w:t>
      </w:r>
      <w:r w:rsidR="00FE6A72" w:rsidRPr="00FE6A72">
        <w:rPr>
          <w:b w:val="0"/>
          <w:bCs w:val="0"/>
        </w:rPr>
        <w:t>1</w:t>
      </w:r>
      <w:r w:rsidR="00FE6A72" w:rsidRPr="00FE6A72">
        <w:rPr>
          <w:b w:val="0"/>
          <w:bCs w:val="0"/>
          <w:rtl/>
        </w:rPr>
        <w:t xml:space="preserve"> من لوائح الراديو </w:t>
      </w:r>
      <w:r w:rsidR="00FE6A72" w:rsidRPr="00FE6A72">
        <w:rPr>
          <w:rFonts w:hint="cs"/>
          <w:b w:val="0"/>
          <w:bCs w:val="0"/>
          <w:rtl/>
        </w:rPr>
        <w:t>قادر</w:t>
      </w:r>
      <w:r w:rsidR="00FE6A72" w:rsidRPr="00FE6A72">
        <w:rPr>
          <w:b w:val="0"/>
          <w:bCs w:val="0"/>
          <w:rtl/>
        </w:rPr>
        <w:t xml:space="preserve"> على التكيف مع تطور التكنولوجيا وأن هناك مرونة كافية في</w:t>
      </w:r>
      <w:r w:rsidR="00FE6A72">
        <w:rPr>
          <w:rFonts w:hint="cs"/>
          <w:b w:val="0"/>
          <w:bCs w:val="0"/>
          <w:rtl/>
        </w:rPr>
        <w:t> </w:t>
      </w:r>
      <w:r w:rsidR="00FE6A72" w:rsidRPr="00FE6A72">
        <w:rPr>
          <w:b w:val="0"/>
          <w:bCs w:val="0"/>
          <w:rtl/>
        </w:rPr>
        <w:t>لوائح الراديو</w:t>
      </w:r>
      <w:r w:rsidR="007A160D">
        <w:rPr>
          <w:rFonts w:hint="cs"/>
          <w:b w:val="0"/>
          <w:bCs w:val="0"/>
          <w:rtl/>
        </w:rPr>
        <w:t> </w:t>
      </w:r>
      <w:r w:rsidR="00FE6A72" w:rsidRPr="00FE6A72">
        <w:rPr>
          <w:b w:val="0"/>
          <w:bCs w:val="0"/>
          <w:rtl/>
        </w:rPr>
        <w:t>الحالية</w:t>
      </w:r>
      <w:r w:rsidR="00FE6A72" w:rsidRPr="00FE6A72">
        <w:rPr>
          <w:rFonts w:hint="cs"/>
          <w:b w:val="0"/>
          <w:bCs w:val="0"/>
          <w:rtl/>
        </w:rPr>
        <w:t>.</w:t>
      </w:r>
    </w:p>
    <w:p w:rsidR="001632D4" w:rsidRPr="00457A52" w:rsidRDefault="001632D4" w:rsidP="007A160D">
      <w:pPr>
        <w:rPr>
          <w:rtl/>
        </w:rPr>
      </w:pPr>
      <w:r w:rsidRPr="00457A52">
        <w:rPr>
          <w:rtl/>
        </w:rPr>
        <w:t>أشارت فرق العمل المساهمة المسؤولة عن الخدمة الساتلية والخدمة للأرض إلى ما</w:t>
      </w:r>
      <w:r w:rsidR="007A160D">
        <w:rPr>
          <w:rFonts w:hint="cs"/>
          <w:rtl/>
        </w:rPr>
        <w:t> </w:t>
      </w:r>
      <w:r w:rsidRPr="00457A52">
        <w:rPr>
          <w:rtl/>
        </w:rPr>
        <w:t>يلي:</w:t>
      </w:r>
    </w:p>
    <w:p w:rsidR="001632D4" w:rsidRPr="00457A52" w:rsidRDefault="001632D4" w:rsidP="007A160D">
      <w:pPr>
        <w:pStyle w:val="enumlev1"/>
        <w:rPr>
          <w:rtl/>
        </w:rPr>
      </w:pPr>
      <w:r w:rsidRPr="00457A52">
        <w:rPr>
          <w:rtl/>
        </w:rPr>
        <w:t>-</w:t>
      </w:r>
      <w:r w:rsidRPr="00457A52">
        <w:tab/>
      </w:r>
      <w:r w:rsidRPr="00457A52">
        <w:rPr>
          <w:rtl/>
        </w:rPr>
        <w:t>يمكن لهذه التعديلات أن تؤثر سلباً على تشغيل مختلف خدمات/أنظمة الاتصالات الراديوية الساتلية لأن تلك التعديلات ستعدل تماماً بيئة التقاسم والتداخل للخدمات الفضائية وستجعل مهمة الإدارات بالغة الصعوبة، إن</w:t>
      </w:r>
      <w:r w:rsidRPr="00457A52">
        <w:rPr>
          <w:rFonts w:hint="cs"/>
          <w:rtl/>
        </w:rPr>
        <w:t> </w:t>
      </w:r>
      <w:r w:rsidRPr="00457A52">
        <w:rPr>
          <w:rtl/>
        </w:rPr>
        <w:t>لم</w:t>
      </w:r>
      <w:r w:rsidRPr="00457A52">
        <w:rPr>
          <w:rFonts w:hint="eastAsia"/>
          <w:rtl/>
        </w:rPr>
        <w:t> </w:t>
      </w:r>
      <w:r w:rsidRPr="00457A52">
        <w:rPr>
          <w:rtl/>
        </w:rPr>
        <w:t>تكن مستحيلة، في</w:t>
      </w:r>
      <w:r w:rsidRPr="00457A52">
        <w:rPr>
          <w:rFonts w:hint="cs"/>
          <w:rtl/>
        </w:rPr>
        <w:t> </w:t>
      </w:r>
      <w:r w:rsidRPr="00457A52">
        <w:rPr>
          <w:rtl/>
        </w:rPr>
        <w:t>عملية التنسيق بين الشبكات الساتلية و</w:t>
      </w:r>
      <w:r>
        <w:rPr>
          <w:rFonts w:hint="cs"/>
          <w:rtl/>
        </w:rPr>
        <w:t>خدمات</w:t>
      </w:r>
      <w:r w:rsidR="007A160D">
        <w:rPr>
          <w:rFonts w:hint="eastAsia"/>
          <w:rtl/>
        </w:rPr>
        <w:t> </w:t>
      </w:r>
      <w:r>
        <w:rPr>
          <w:rFonts w:hint="cs"/>
          <w:rtl/>
        </w:rPr>
        <w:t>الأرض</w:t>
      </w:r>
      <w:r w:rsidRPr="00457A52">
        <w:rPr>
          <w:rtl/>
        </w:rPr>
        <w:t>؛</w:t>
      </w:r>
    </w:p>
    <w:p w:rsidR="001632D4" w:rsidRDefault="001632D4" w:rsidP="007A160D">
      <w:pPr>
        <w:pStyle w:val="enumlev1"/>
        <w:rPr>
          <w:rtl/>
        </w:rPr>
      </w:pPr>
      <w:r w:rsidRPr="00457A52">
        <w:rPr>
          <w:rtl/>
        </w:rPr>
        <w:t>-</w:t>
      </w:r>
      <w:r w:rsidRPr="00457A52">
        <w:tab/>
      </w:r>
      <w:r w:rsidRPr="00457A52">
        <w:rPr>
          <w:rtl/>
        </w:rPr>
        <w:t>لم تحدث حسب علمها أي مشاكل تتعلق بالتعاريف الحالية، ولذلك ليست هناك أي ضرورة تدعو إلى إدخال أي</w:t>
      </w:r>
      <w:r w:rsidR="00D339B0">
        <w:rPr>
          <w:rFonts w:hint="cs"/>
          <w:rtl/>
        </w:rPr>
        <w:t> </w:t>
      </w:r>
      <w:r w:rsidRPr="00457A52">
        <w:rPr>
          <w:rtl/>
        </w:rPr>
        <w:t>تغ</w:t>
      </w:r>
      <w:r>
        <w:rPr>
          <w:rtl/>
        </w:rPr>
        <w:t>ييرات على تعاريف الخدمة الثابتة</w:t>
      </w:r>
      <w:r w:rsidRPr="00457A52">
        <w:rPr>
          <w:rtl/>
        </w:rPr>
        <w:t xml:space="preserve"> والمحطة الثابتة والمحطة المتنقلة استجابة</w:t>
      </w:r>
      <w:r w:rsidRPr="00457A52">
        <w:rPr>
          <w:rFonts w:hint="cs"/>
          <w:rtl/>
        </w:rPr>
        <w:t>ً</w:t>
      </w:r>
      <w:r w:rsidRPr="00457A52">
        <w:rPr>
          <w:rtl/>
        </w:rPr>
        <w:t xml:space="preserve"> لهذا البند من جدول</w:t>
      </w:r>
      <w:r w:rsidR="007A160D">
        <w:rPr>
          <w:rFonts w:hint="cs"/>
          <w:rtl/>
        </w:rPr>
        <w:t> </w:t>
      </w:r>
      <w:r w:rsidRPr="00457A52">
        <w:rPr>
          <w:rtl/>
        </w:rPr>
        <w:t>الأعمال</w:t>
      </w:r>
      <w:r w:rsidRPr="00457A52">
        <w:rPr>
          <w:rFonts w:hint="cs"/>
          <w:rtl/>
        </w:rPr>
        <w:t>.</w:t>
      </w:r>
    </w:p>
    <w:p w:rsidR="006503AC" w:rsidRDefault="0085607E">
      <w:pPr>
        <w:pStyle w:val="Proposal"/>
      </w:pPr>
      <w:r>
        <w:t>SUP</w:t>
      </w:r>
      <w:r>
        <w:tab/>
        <w:t>ASP/32A23A1A6/2</w:t>
      </w:r>
    </w:p>
    <w:p w:rsidR="00F26C6D" w:rsidRDefault="0085607E" w:rsidP="0092116E">
      <w:pPr>
        <w:pStyle w:val="ResNo"/>
        <w:rPr>
          <w:rtl/>
          <w:lang w:bidi="ar-SA"/>
        </w:rPr>
      </w:pPr>
      <w:bookmarkStart w:id="3" w:name="_Toc327956811"/>
      <w:r>
        <w:rPr>
          <w:rFonts w:hint="cs"/>
          <w:rtl/>
        </w:rPr>
        <w:t xml:space="preserve">القـرار </w:t>
      </w:r>
      <w:r w:rsidRPr="00E23BAD">
        <w:rPr>
          <w:rStyle w:val="href"/>
        </w:rPr>
        <w:t>957</w:t>
      </w:r>
      <w:r>
        <w:t> (WRC-12)</w:t>
      </w:r>
      <w:bookmarkEnd w:id="3"/>
    </w:p>
    <w:p w:rsidR="00F26C6D" w:rsidRPr="00AE0FC0" w:rsidRDefault="0085607E" w:rsidP="001E5E0E">
      <w:pPr>
        <w:pStyle w:val="Restitle"/>
        <w:rPr>
          <w:rtl/>
          <w:lang w:bidi="ar-EG"/>
        </w:rPr>
      </w:pPr>
      <w:bookmarkStart w:id="4" w:name="_Toc327956812"/>
      <w:r>
        <w:rPr>
          <w:rFonts w:hint="cs"/>
          <w:rtl/>
          <w:lang w:bidi="ar-EG"/>
        </w:rPr>
        <w:t>إجراء دراسات بهدف استعراض تعاريف</w:t>
      </w:r>
      <w:r w:rsidR="001E5E0E">
        <w:rPr>
          <w:rtl/>
          <w:lang w:bidi="ar-EG"/>
        </w:rPr>
        <w:br/>
      </w:r>
      <w:r w:rsidRPr="00B76FE9">
        <w:rPr>
          <w:rFonts w:hint="cs"/>
          <w:i/>
          <w:iCs/>
          <w:rtl/>
          <w:lang w:bidi="ar-EG"/>
        </w:rPr>
        <w:t>الخدمة الثابتة</w:t>
      </w:r>
      <w:r w:rsidR="001E5E0E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و</w:t>
      </w:r>
      <w:r w:rsidRPr="00B76FE9">
        <w:rPr>
          <w:rFonts w:hint="cs"/>
          <w:i/>
          <w:iCs/>
          <w:rtl/>
          <w:lang w:bidi="ar-EG"/>
        </w:rPr>
        <w:t xml:space="preserve">المحطة الثابتة </w:t>
      </w:r>
      <w:r>
        <w:rPr>
          <w:rFonts w:hint="cs"/>
          <w:rtl/>
          <w:lang w:bidi="ar-EG"/>
        </w:rPr>
        <w:t>و</w:t>
      </w:r>
      <w:r w:rsidRPr="00B76FE9">
        <w:rPr>
          <w:rFonts w:hint="cs"/>
          <w:i/>
          <w:iCs/>
          <w:rtl/>
          <w:lang w:bidi="ar-EG"/>
        </w:rPr>
        <w:t>المحطة المتنقلة</w:t>
      </w:r>
      <w:bookmarkEnd w:id="4"/>
      <w:r>
        <w:rPr>
          <w:rFonts w:hint="cs"/>
          <w:rtl/>
          <w:lang w:bidi="ar-EG"/>
        </w:rPr>
        <w:t xml:space="preserve"> </w:t>
      </w:r>
    </w:p>
    <w:p w:rsidR="00011F56" w:rsidRDefault="0085607E" w:rsidP="00D339B0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4B6CBE">
        <w:rPr>
          <w:rFonts w:hint="cs"/>
          <w:b w:val="0"/>
          <w:bCs w:val="0"/>
          <w:rtl/>
        </w:rPr>
        <w:t>لم يعد هذا القرار مطلوباً بعد المؤتمر</w:t>
      </w:r>
      <w:r w:rsidR="00D339B0">
        <w:rPr>
          <w:rFonts w:hint="eastAsia"/>
          <w:b w:val="0"/>
          <w:bCs w:val="0"/>
          <w:rtl/>
        </w:rPr>
        <w:t> </w:t>
      </w:r>
      <w:r w:rsidR="004B6CBE">
        <w:rPr>
          <w:b w:val="0"/>
          <w:bCs w:val="0"/>
        </w:rPr>
        <w:t>WRC</w:t>
      </w:r>
      <w:r w:rsidR="00D339B0">
        <w:rPr>
          <w:b w:val="0"/>
          <w:bCs w:val="0"/>
        </w:rPr>
        <w:noBreakHyphen/>
      </w:r>
      <w:r w:rsidR="004B6CBE">
        <w:rPr>
          <w:b w:val="0"/>
          <w:bCs w:val="0"/>
        </w:rPr>
        <w:t>15</w:t>
      </w:r>
      <w:r w:rsidR="004B6CBE">
        <w:rPr>
          <w:rFonts w:hint="cs"/>
          <w:b w:val="0"/>
          <w:bCs w:val="0"/>
          <w:rtl/>
          <w:lang w:bidi="ar-EG"/>
        </w:rPr>
        <w:t>.</w:t>
      </w:r>
    </w:p>
    <w:p w:rsidR="00D32B12" w:rsidRPr="00D32B12" w:rsidRDefault="00D32B12" w:rsidP="00D32B12">
      <w:pPr>
        <w:pStyle w:val="Reasons"/>
        <w:rPr>
          <w:rtl/>
          <w:lang w:bidi="ar-EG"/>
        </w:rPr>
      </w:pPr>
      <w:bookmarkStart w:id="5" w:name="_GoBack"/>
      <w:bookmarkEnd w:id="5"/>
    </w:p>
    <w:p w:rsidR="00D339B0" w:rsidRPr="00D339B0" w:rsidRDefault="00D339B0" w:rsidP="00D339B0">
      <w:pPr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D339B0" w:rsidRPr="00D339B0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FE6A72" w:rsidRDefault="00281F5F" w:rsidP="00FE6A72">
    <w:pPr>
      <w:pStyle w:val="Footer"/>
      <w:tabs>
        <w:tab w:val="clear" w:pos="5812"/>
        <w:tab w:val="left" w:pos="6237"/>
      </w:tabs>
    </w:pPr>
    <w:r w:rsidRPr="00CB4300">
      <w:fldChar w:fldCharType="begin"/>
    </w:r>
    <w:r w:rsidRPr="00FE6A72">
      <w:instrText xml:space="preserve"> FILENAME \p \* MERGEFORMAT </w:instrText>
    </w:r>
    <w:r w:rsidRPr="00CB4300">
      <w:fldChar w:fldCharType="separate"/>
    </w:r>
    <w:r w:rsidR="00D339B0">
      <w:rPr>
        <w:noProof/>
      </w:rPr>
      <w:t>P:\ARA\ITU-R\CONF-R\CMR15\000\032ADD23ADD01ADD06A.docx</w:t>
    </w:r>
    <w:r w:rsidRPr="00CB4300">
      <w:fldChar w:fldCharType="end"/>
    </w:r>
    <w:r w:rsidRPr="00FE6A72">
      <w:t xml:space="preserve">  (</w:t>
    </w:r>
    <w:r w:rsidR="00FE6A72">
      <w:rPr>
        <w:rFonts w:hint="cs"/>
        <w:rtl/>
        <w:lang w:val="es-ES"/>
      </w:rPr>
      <w:t>387354</w:t>
    </w:r>
    <w:r w:rsidRPr="00FE6A72">
      <w:t>)</w:t>
    </w:r>
    <w:r w:rsidRPr="00FE6A72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D32B12">
      <w:rPr>
        <w:noProof/>
      </w:rPr>
      <w:t>27.10.15</w:t>
    </w:r>
    <w:r w:rsidRPr="00CB4300">
      <w:fldChar w:fldCharType="end"/>
    </w:r>
    <w:r w:rsidRPr="00FE6A72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D339B0">
      <w:rPr>
        <w:noProof/>
      </w:rPr>
      <w:t>05.10.15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A72" w:rsidRPr="00FE6A72" w:rsidRDefault="00FE6A72" w:rsidP="00D339B0">
    <w:pPr>
      <w:pStyle w:val="Footer"/>
      <w:tabs>
        <w:tab w:val="clear" w:pos="5812"/>
        <w:tab w:val="left" w:pos="6237"/>
      </w:tabs>
    </w:pPr>
    <w:r w:rsidRPr="00CB4300">
      <w:fldChar w:fldCharType="begin"/>
    </w:r>
    <w:r w:rsidRPr="00FE6A72">
      <w:instrText xml:space="preserve"> FILENAME \p \* MERGEFORMAT </w:instrText>
    </w:r>
    <w:r w:rsidRPr="00CB4300">
      <w:fldChar w:fldCharType="separate"/>
    </w:r>
    <w:r w:rsidR="00D339B0">
      <w:rPr>
        <w:noProof/>
      </w:rPr>
      <w:t>P:\ARA\ITU-R\CONF-R\CMR15\000\032ADD23ADD01ADD06A.docx</w:t>
    </w:r>
    <w:r w:rsidRPr="00CB4300">
      <w:fldChar w:fldCharType="end"/>
    </w:r>
    <w:r w:rsidRPr="00FE6A72">
      <w:t xml:space="preserve">  (</w:t>
    </w:r>
    <w:r w:rsidR="00D339B0" w:rsidRPr="00D339B0">
      <w:t>387354</w:t>
    </w:r>
    <w:r w:rsidRPr="00FE6A72">
      <w:t>)</w:t>
    </w:r>
    <w:r w:rsidRPr="00FE6A72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D32B12">
      <w:rPr>
        <w:noProof/>
      </w:rPr>
      <w:t>27.10.15</w:t>
    </w:r>
    <w:r w:rsidRPr="00CB4300">
      <w:fldChar w:fldCharType="end"/>
    </w:r>
    <w:r w:rsidRPr="00FE6A72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D339B0">
      <w:rPr>
        <w:noProof/>
      </w:rPr>
      <w:t>05.10.15</w:t>
    </w:r>
    <w:r w:rsidRPr="00CB4300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D32B12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32(Add.23)(Add.1)(Add.6)-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56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32D4"/>
    <w:rsid w:val="00167364"/>
    <w:rsid w:val="001903B2"/>
    <w:rsid w:val="001E190C"/>
    <w:rsid w:val="001E54F6"/>
    <w:rsid w:val="001E5A8C"/>
    <w:rsid w:val="001E5E0E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0F87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64B13"/>
    <w:rsid w:val="00470CBD"/>
    <w:rsid w:val="0047407D"/>
    <w:rsid w:val="004909DD"/>
    <w:rsid w:val="004A05E6"/>
    <w:rsid w:val="004A6C66"/>
    <w:rsid w:val="004A7AA0"/>
    <w:rsid w:val="004B6CBE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35809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24E8E"/>
    <w:rsid w:val="006315B5"/>
    <w:rsid w:val="006503AC"/>
    <w:rsid w:val="00651343"/>
    <w:rsid w:val="0065562F"/>
    <w:rsid w:val="00680A66"/>
    <w:rsid w:val="00681391"/>
    <w:rsid w:val="006A12AC"/>
    <w:rsid w:val="006A2162"/>
    <w:rsid w:val="006A73C6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A160D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607E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024A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446D3"/>
    <w:rsid w:val="00A66D2B"/>
    <w:rsid w:val="00A83981"/>
    <w:rsid w:val="00A870AD"/>
    <w:rsid w:val="00A90843"/>
    <w:rsid w:val="00A9645C"/>
    <w:rsid w:val="00AB2A33"/>
    <w:rsid w:val="00AC1275"/>
    <w:rsid w:val="00AC3ACD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C0928"/>
    <w:rsid w:val="00BC6F17"/>
    <w:rsid w:val="00BD6EF3"/>
    <w:rsid w:val="00BE69C3"/>
    <w:rsid w:val="00BF03C9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32B12"/>
    <w:rsid w:val="00D339B0"/>
    <w:rsid w:val="00D419CB"/>
    <w:rsid w:val="00D44350"/>
    <w:rsid w:val="00D44E3F"/>
    <w:rsid w:val="00D525F5"/>
    <w:rsid w:val="00D535D0"/>
    <w:rsid w:val="00D56F5D"/>
    <w:rsid w:val="00D62C78"/>
    <w:rsid w:val="00D67FC5"/>
    <w:rsid w:val="00D81703"/>
    <w:rsid w:val="00D82929"/>
    <w:rsid w:val="00D84214"/>
    <w:rsid w:val="00D943E5"/>
    <w:rsid w:val="00DA1AE0"/>
    <w:rsid w:val="00DC29DD"/>
    <w:rsid w:val="00DC783C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525DF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E6A72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F113CCA3-DFB0-44BC-9FBF-BD265954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R15-WRC15-C-0032!A23-A1-A6!MSW-A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427CF-25A9-4DDB-844A-2147B1A6AE5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32a1a8c5-2265-4ebc-b7a0-2071e2c5c9bb"/>
    <ds:schemaRef ds:uri="996b2e75-67fd-4955-a3b0-5ab9934cb5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9D508A-201D-4477-B37A-84804636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404</Words>
  <Characters>2326</Characters>
  <Application>Microsoft Office Word</Application>
  <DocSecurity>0</DocSecurity>
  <Lines>61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R15-WRC15-C-0032!A23-A1-A6!MSW-A</vt:lpstr>
    </vt:vector>
  </TitlesOfParts>
  <Manager>General Secretariat - Pool</Manager>
  <Company>International Telecommunication Union (ITU)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R15-WRC15-C-0032!A23-A1-A6!MSW-A</dc:title>
  <dc:creator>Documents Proposals Manager (DPM)</dc:creator>
  <cp:keywords>DPM_v5.2015.9.16_prod</cp:keywords>
  <cp:lastModifiedBy>Awad, Samy</cp:lastModifiedBy>
  <cp:revision>7</cp:revision>
  <cp:lastPrinted>2015-10-05T13:47:00Z</cp:lastPrinted>
  <dcterms:created xsi:type="dcterms:W3CDTF">2015-10-23T17:14:00Z</dcterms:created>
  <dcterms:modified xsi:type="dcterms:W3CDTF">2015-10-27T13:52:00Z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