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583" w:type="dxa"/>
        <w:tblLayout w:type="fixed"/>
        <w:tblLook w:val="0000" w:firstRow="0" w:lastRow="0" w:firstColumn="0" w:lastColumn="0" w:noHBand="0" w:noVBand="0"/>
      </w:tblPr>
      <w:tblGrid>
        <w:gridCol w:w="6733"/>
        <w:gridCol w:w="3298"/>
        <w:gridCol w:w="552"/>
      </w:tblGrid>
      <w:tr w:rsidR="00BB1D82" w:rsidRPr="002A6F8F" w:rsidTr="00DE4A19">
        <w:trPr>
          <w:gridAfter w:val="1"/>
          <w:wAfter w:w="552" w:type="dxa"/>
          <w:cantSplit/>
        </w:trPr>
        <w:tc>
          <w:tcPr>
            <w:tcW w:w="6733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298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2A1EDCEF" wp14:editId="7D0E7757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DE4A19">
        <w:trPr>
          <w:gridAfter w:val="1"/>
          <w:wAfter w:w="552" w:type="dxa"/>
          <w:cantSplit/>
        </w:trPr>
        <w:tc>
          <w:tcPr>
            <w:tcW w:w="6733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298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DE4A19">
        <w:trPr>
          <w:gridAfter w:val="1"/>
          <w:wAfter w:w="552" w:type="dxa"/>
          <w:cantSplit/>
        </w:trPr>
        <w:tc>
          <w:tcPr>
            <w:tcW w:w="6733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98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DE4A19">
        <w:trPr>
          <w:cantSplit/>
        </w:trPr>
        <w:tc>
          <w:tcPr>
            <w:tcW w:w="6733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850" w:type="dxa"/>
            <w:gridSpan w:val="2"/>
            <w:shd w:val="clear" w:color="auto" w:fill="auto"/>
          </w:tcPr>
          <w:p w:rsidR="00BB1D82" w:rsidRPr="003304F4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3304F4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3 au</w:t>
            </w:r>
            <w:r w:rsidRPr="003304F4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32(Add.23)(Add.1)</w:t>
            </w:r>
            <w:r w:rsidR="00BB1D82" w:rsidRPr="003304F4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3304F4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DE4A19">
        <w:trPr>
          <w:gridAfter w:val="1"/>
          <w:wAfter w:w="552" w:type="dxa"/>
          <w:cantSplit/>
        </w:trPr>
        <w:tc>
          <w:tcPr>
            <w:tcW w:w="6733" w:type="dxa"/>
            <w:shd w:val="clear" w:color="auto" w:fill="auto"/>
          </w:tcPr>
          <w:p w:rsidR="00690C7B" w:rsidRPr="003304F4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298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29 septembre 2015</w:t>
            </w:r>
          </w:p>
        </w:tc>
      </w:tr>
      <w:tr w:rsidR="00690C7B" w:rsidRPr="002A6F8F" w:rsidTr="00DE4A19">
        <w:trPr>
          <w:gridAfter w:val="1"/>
          <w:wAfter w:w="552" w:type="dxa"/>
          <w:cantSplit/>
        </w:trPr>
        <w:tc>
          <w:tcPr>
            <w:tcW w:w="6733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98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DE4A19">
        <w:trPr>
          <w:gridAfter w:val="1"/>
          <w:wAfter w:w="552" w:type="dxa"/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DE4A19">
        <w:trPr>
          <w:gridAfter w:val="1"/>
          <w:wAfter w:w="552" w:type="dxa"/>
          <w:cantSplit/>
        </w:trPr>
        <w:tc>
          <w:tcPr>
            <w:tcW w:w="10031" w:type="dxa"/>
            <w:gridSpan w:val="2"/>
          </w:tcPr>
          <w:p w:rsidR="00690C7B" w:rsidRPr="003304F4" w:rsidRDefault="00690C7B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3304F4">
              <w:rPr>
                <w:lang w:val="fr-CH"/>
              </w:rPr>
              <w:t>Propositions communes de l</w:t>
            </w:r>
            <w:bookmarkStart w:id="3" w:name="_GoBack"/>
            <w:bookmarkEnd w:id="3"/>
            <w:r w:rsidRPr="003304F4">
              <w:rPr>
                <w:lang w:val="fr-CH"/>
              </w:rPr>
              <w:t>a Télécommunauté Asie-Pacifique</w:t>
            </w:r>
          </w:p>
        </w:tc>
      </w:tr>
      <w:tr w:rsidR="00690C7B" w:rsidRPr="00755A17" w:rsidTr="00DE4A19">
        <w:trPr>
          <w:gridAfter w:val="1"/>
          <w:wAfter w:w="552" w:type="dxa"/>
          <w:cantSplit/>
        </w:trPr>
        <w:tc>
          <w:tcPr>
            <w:tcW w:w="10031" w:type="dxa"/>
            <w:gridSpan w:val="2"/>
          </w:tcPr>
          <w:p w:rsidR="00690C7B" w:rsidRPr="00755A17" w:rsidRDefault="00755A17" w:rsidP="00690C7B">
            <w:pPr>
              <w:pStyle w:val="Title1"/>
              <w:rPr>
                <w:lang w:val="fr-CH"/>
              </w:rPr>
            </w:pPr>
            <w:bookmarkStart w:id="4" w:name="dtitle1" w:colFirst="0" w:colLast="0"/>
            <w:bookmarkEnd w:id="2"/>
            <w:r w:rsidRPr="00755A17">
              <w:rPr>
                <w:lang w:val="fr-CH"/>
              </w:rPr>
              <w:t>propositions pour les travaux de la conférence</w:t>
            </w:r>
          </w:p>
        </w:tc>
      </w:tr>
      <w:tr w:rsidR="00690C7B" w:rsidRPr="00755A17" w:rsidTr="00DE4A19">
        <w:trPr>
          <w:gridAfter w:val="1"/>
          <w:wAfter w:w="552" w:type="dxa"/>
          <w:cantSplit/>
        </w:trPr>
        <w:tc>
          <w:tcPr>
            <w:tcW w:w="10031" w:type="dxa"/>
            <w:gridSpan w:val="2"/>
          </w:tcPr>
          <w:p w:rsidR="00690C7B" w:rsidRPr="00755A17" w:rsidRDefault="00690C7B" w:rsidP="00690C7B">
            <w:pPr>
              <w:pStyle w:val="Title2"/>
              <w:rPr>
                <w:lang w:val="fr-CH"/>
              </w:rPr>
            </w:pPr>
            <w:bookmarkStart w:id="5" w:name="dtitle2" w:colFirst="0" w:colLast="0"/>
            <w:bookmarkEnd w:id="4"/>
          </w:p>
        </w:tc>
      </w:tr>
      <w:tr w:rsidR="00690C7B" w:rsidTr="00DE4A19">
        <w:trPr>
          <w:gridAfter w:val="1"/>
          <w:wAfter w:w="552" w:type="dxa"/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6" w:name="dtitle3" w:colFirst="0" w:colLast="0"/>
            <w:bookmarkEnd w:id="5"/>
            <w:r w:rsidRPr="006D4724">
              <w:t>Point 9.1(9.1.3) de l'ordre du jour</w:t>
            </w:r>
          </w:p>
        </w:tc>
      </w:tr>
    </w:tbl>
    <w:bookmarkEnd w:id="6"/>
    <w:p w:rsidR="001C0E40" w:rsidRPr="00A27760" w:rsidRDefault="00261205" w:rsidP="00FB05A7">
      <w:pPr>
        <w:rPr>
          <w:lang w:val="fr-CA"/>
        </w:rPr>
      </w:pPr>
      <w:r w:rsidRPr="00A27760">
        <w:rPr>
          <w:lang w:val="fr-CA"/>
        </w:rPr>
        <w:t>9</w:t>
      </w:r>
      <w:r w:rsidRPr="00A27760">
        <w:rPr>
          <w:lang w:val="fr-CA"/>
        </w:rPr>
        <w:tab/>
        <w:t>examiner et approuver le rapport du Directeur du Bureau des radiocommunications, conformément à l'article 7 de la Convention:</w:t>
      </w:r>
    </w:p>
    <w:p w:rsidR="001C0E40" w:rsidRPr="00895D39" w:rsidRDefault="00261205" w:rsidP="00D4336F">
      <w:pPr>
        <w:rPr>
          <w:lang w:val="fr-CA"/>
        </w:rPr>
      </w:pPr>
      <w:r>
        <w:rPr>
          <w:lang w:val="fr-CA"/>
        </w:rPr>
        <w:t>9.1</w:t>
      </w:r>
      <w:r>
        <w:rPr>
          <w:lang w:val="fr-CA"/>
        </w:rPr>
        <w:tab/>
      </w:r>
      <w:r w:rsidRPr="00895D39">
        <w:rPr>
          <w:lang w:val="fr-CA"/>
        </w:rPr>
        <w:t>sur les activités du Secteur des radiocommunications depuis la CMR</w:t>
      </w:r>
      <w:r w:rsidRPr="00895D39">
        <w:rPr>
          <w:lang w:val="fr-CA"/>
        </w:rPr>
        <w:noBreakHyphen/>
        <w:t xml:space="preserve">12; </w:t>
      </w:r>
    </w:p>
    <w:p w:rsidR="003A583E" w:rsidRPr="003A3053" w:rsidRDefault="00261205" w:rsidP="003A3053">
      <w:pPr>
        <w:rPr>
          <w:lang w:val="fr-CH"/>
        </w:rPr>
      </w:pPr>
      <w:r>
        <w:rPr>
          <w:lang w:val="fr-CH"/>
        </w:rPr>
        <w:t>9.1(9.1.3)</w:t>
      </w:r>
      <w:r>
        <w:rPr>
          <w:lang w:val="fr-CH"/>
        </w:rPr>
        <w:tab/>
      </w:r>
      <w:r w:rsidRPr="00552143">
        <w:rPr>
          <w:lang w:val="fr-CH"/>
        </w:rPr>
        <w:t xml:space="preserve">Résolution </w:t>
      </w:r>
      <w:r w:rsidRPr="00240D3B">
        <w:rPr>
          <w:b/>
          <w:bCs/>
          <w:lang w:val="fr-CH"/>
        </w:rPr>
        <w:t>11 (CMR-12)</w:t>
      </w:r>
      <w:r w:rsidRPr="00552143">
        <w:rPr>
          <w:lang w:val="fr-CH"/>
        </w:rPr>
        <w:t xml:space="preserve"> – Utilisation de positions orbitales de satellite et de fréquences associées pour fournir des services publics internationaux de télécommunication dans les pays en développement</w:t>
      </w:r>
    </w:p>
    <w:p w:rsidR="00755A17" w:rsidRPr="00755A17" w:rsidRDefault="00755A17" w:rsidP="003A3053">
      <w:pPr>
        <w:pStyle w:val="Headingb"/>
      </w:pPr>
      <w:r w:rsidRPr="00755A17">
        <w:t>Introduction</w:t>
      </w:r>
    </w:p>
    <w:p w:rsidR="00755A17" w:rsidRDefault="00755A17" w:rsidP="00DE4A19">
      <w:r>
        <w:t xml:space="preserve">Les Membres de l’APT estiment que les fiches de notification de réseaux </w:t>
      </w:r>
      <w:r w:rsidR="00A43E23">
        <w:t xml:space="preserve">à </w:t>
      </w:r>
      <w:r w:rsidR="00DE4A19">
        <w:t>satellite</w:t>
      </w:r>
      <w:r>
        <w:t xml:space="preserve"> devraient </w:t>
      </w:r>
      <w:r w:rsidR="00A43E23">
        <w:t xml:space="preserve">toutes </w:t>
      </w:r>
      <w:r>
        <w:t>être traité</w:t>
      </w:r>
      <w:r w:rsidR="00A43E23">
        <w:t>e</w:t>
      </w:r>
      <w:r>
        <w:t>s de la même manière et sur un pied d’égalité.</w:t>
      </w:r>
    </w:p>
    <w:p w:rsidR="00755A17" w:rsidRDefault="00755A17" w:rsidP="00DE4A19">
      <w:r>
        <w:t>Les Membres de l’APT ne souhaitent pas modifi</w:t>
      </w:r>
      <w:r w:rsidR="00A43E23">
        <w:t>er le</w:t>
      </w:r>
      <w:r>
        <w:t xml:space="preserve"> Règlement des radiocommunications et sont en faveur du maintien de la Résolution 11 (CMR-12) </w:t>
      </w:r>
      <w:r w:rsidR="00A43E23">
        <w:t>en l’état</w:t>
      </w:r>
      <w:r>
        <w:t>.</w:t>
      </w:r>
    </w:p>
    <w:p w:rsidR="0015203F" w:rsidRPr="00755A17" w:rsidRDefault="00755A17" w:rsidP="003A3053">
      <w:pPr>
        <w:pStyle w:val="Headingb"/>
      </w:pPr>
      <w:r w:rsidRPr="00755A17">
        <w:t>Propositions</w:t>
      </w:r>
      <w:r w:rsidR="0015203F" w:rsidRPr="00755A17">
        <w:br w:type="page"/>
      </w:r>
    </w:p>
    <w:p w:rsidR="00281893" w:rsidRDefault="00261205">
      <w:pPr>
        <w:pStyle w:val="Proposal"/>
      </w:pPr>
      <w:r>
        <w:rPr>
          <w:u w:val="single"/>
        </w:rPr>
        <w:lastRenderedPageBreak/>
        <w:t>NOC</w:t>
      </w:r>
      <w:r>
        <w:tab/>
        <w:t>ASP/32A23A1A3/1</w:t>
      </w:r>
    </w:p>
    <w:p w:rsidR="004A6A8C" w:rsidRPr="00E47F9B" w:rsidRDefault="00261205" w:rsidP="00D94B99">
      <w:pPr>
        <w:pStyle w:val="ChapNo"/>
      </w:pPr>
      <w:bookmarkStart w:id="7" w:name="_Toc327956586"/>
      <w:r w:rsidRPr="00E47F9B">
        <w:t xml:space="preserve">CHAPITRE </w:t>
      </w:r>
      <w:r w:rsidRPr="00E47F9B">
        <w:rPr>
          <w:rStyle w:val="href"/>
          <w:color w:val="000000"/>
        </w:rPr>
        <w:t>III</w:t>
      </w:r>
      <w:bookmarkEnd w:id="7"/>
    </w:p>
    <w:p w:rsidR="00483ED4" w:rsidRDefault="00261205" w:rsidP="00483ED4">
      <w:pPr>
        <w:pStyle w:val="Chaptitle"/>
      </w:pPr>
      <w:r>
        <w:t>Coordination, notification et enregistrement des assignations</w:t>
      </w:r>
      <w:r>
        <w:br/>
        <w:t>de fréquence et modification des Plans</w:t>
      </w:r>
    </w:p>
    <w:p w:rsidR="00281893" w:rsidRDefault="00281893">
      <w:pPr>
        <w:pStyle w:val="Reasons"/>
      </w:pPr>
    </w:p>
    <w:p w:rsidR="00281893" w:rsidRDefault="00261205">
      <w:pPr>
        <w:pStyle w:val="Proposal"/>
      </w:pPr>
      <w:r>
        <w:rPr>
          <w:u w:val="single"/>
        </w:rPr>
        <w:t>NOC</w:t>
      </w:r>
      <w:r>
        <w:tab/>
        <w:t>ASP/32A23A1A3/2</w:t>
      </w:r>
    </w:p>
    <w:p w:rsidR="00DD4258" w:rsidRPr="006026AD" w:rsidRDefault="00261205" w:rsidP="00DD4258">
      <w:pPr>
        <w:pStyle w:val="ResNo"/>
        <w:rPr>
          <w:lang w:val="fr-CH"/>
        </w:rPr>
      </w:pPr>
      <w:r>
        <w:t xml:space="preserve">RÉSOLUTION </w:t>
      </w:r>
      <w:r w:rsidRPr="00A44420">
        <w:rPr>
          <w:rStyle w:val="href"/>
        </w:rPr>
        <w:t>11</w:t>
      </w:r>
      <w:r w:rsidRPr="006026AD">
        <w:rPr>
          <w:lang w:val="fr-CH"/>
        </w:rPr>
        <w:t xml:space="preserve"> (CMR-12)</w:t>
      </w:r>
    </w:p>
    <w:p w:rsidR="00DD4258" w:rsidRPr="00654ABC" w:rsidRDefault="00261205" w:rsidP="00AC1F0E">
      <w:pPr>
        <w:pStyle w:val="Restitle"/>
      </w:pPr>
      <w:r w:rsidRPr="00654ABC">
        <w:t xml:space="preserve">Utilisation de positions orbitales de satellite et de fréquences associées pour fournir des services publics internationaux de télécommunication </w:t>
      </w:r>
      <w:r w:rsidRPr="00654ABC">
        <w:br/>
        <w:t>dans les pays en développement</w:t>
      </w:r>
    </w:p>
    <w:p w:rsidR="00281893" w:rsidRDefault="00261205">
      <w:pPr>
        <w:pStyle w:val="Reasons"/>
      </w:pPr>
      <w:r>
        <w:rPr>
          <w:b/>
        </w:rPr>
        <w:t>Motifs:</w:t>
      </w:r>
      <w:r>
        <w:tab/>
      </w:r>
      <w:r w:rsidR="00AB745A">
        <w:t xml:space="preserve">L’Option A décrite dans la Section 5/9.1.3/4.1.1 du Rapport </w:t>
      </w:r>
      <w:r w:rsidR="00A43E23">
        <w:t>de la RPC ne fait pas référence</w:t>
      </w:r>
      <w:r w:rsidR="00AB745A">
        <w:t xml:space="preserve"> à la Résolution 11 (CMR-12).</w:t>
      </w:r>
    </w:p>
    <w:p w:rsidR="00DE4A19" w:rsidRDefault="00DE4A19" w:rsidP="0032202E">
      <w:pPr>
        <w:pStyle w:val="Reasons"/>
      </w:pPr>
    </w:p>
    <w:p w:rsidR="00DE4A19" w:rsidRDefault="00DE4A19">
      <w:pPr>
        <w:jc w:val="center"/>
      </w:pPr>
      <w:r>
        <w:t>______________</w:t>
      </w:r>
    </w:p>
    <w:p w:rsidR="00DE4A19" w:rsidRDefault="00DE4A19">
      <w:pPr>
        <w:pStyle w:val="Reasons"/>
      </w:pPr>
    </w:p>
    <w:sectPr w:rsidR="00DE4A19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205" w:rsidRDefault="00261205">
      <w:r>
        <w:separator/>
      </w:r>
    </w:p>
  </w:endnote>
  <w:endnote w:type="continuationSeparator" w:id="0">
    <w:p w:rsidR="00261205" w:rsidRDefault="0026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F1116">
      <w:rPr>
        <w:noProof/>
        <w:lang w:val="en-US"/>
      </w:rPr>
      <w:t>P:\FRA\ITU-R\CONF-R\CMR15\000\032ADD23ADD01ADD03F.docx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F1116">
      <w:rPr>
        <w:noProof/>
      </w:rPr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F1116">
      <w:rPr>
        <w:noProof/>
      </w:rPr>
      <w:t>08.10.15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F1116">
      <w:rPr>
        <w:lang w:val="en-US"/>
      </w:rPr>
      <w:t>P:\FRA\ITU-R\CONF-R\CMR15\000\032ADD23ADD01ADD03F.docx</w:t>
    </w:r>
    <w:r>
      <w:fldChar w:fldCharType="end"/>
    </w:r>
    <w:r w:rsidR="00DE4A19">
      <w:t xml:space="preserve"> (387350)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F1116"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F1116">
      <w:t>08.10.15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F1116">
      <w:rPr>
        <w:lang w:val="en-US"/>
      </w:rPr>
      <w:t>P:\FRA\ITU-R\CONF-R\CMR15\000\032ADD23ADD01ADD03F.docx</w:t>
    </w:r>
    <w:r>
      <w:fldChar w:fldCharType="end"/>
    </w:r>
    <w:r w:rsidR="00DE4A19">
      <w:t xml:space="preserve"> (387350)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F1116"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F1116">
      <w:t>08.10.15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205" w:rsidRDefault="00261205">
      <w:r>
        <w:rPr>
          <w:b/>
        </w:rPr>
        <w:t>_______________</w:t>
      </w:r>
    </w:p>
  </w:footnote>
  <w:footnote w:type="continuationSeparator" w:id="0">
    <w:p w:rsidR="00261205" w:rsidRDefault="00261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4F1116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32(Add.23)(Add.1)(Add.3)-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1205"/>
    <w:rsid w:val="0026554E"/>
    <w:rsid w:val="00281893"/>
    <w:rsid w:val="002A4622"/>
    <w:rsid w:val="002A6F8F"/>
    <w:rsid w:val="002B17E5"/>
    <w:rsid w:val="002C0EBF"/>
    <w:rsid w:val="002C28A4"/>
    <w:rsid w:val="00315AFE"/>
    <w:rsid w:val="003304F4"/>
    <w:rsid w:val="003606A6"/>
    <w:rsid w:val="0036650C"/>
    <w:rsid w:val="00393ACD"/>
    <w:rsid w:val="003A3053"/>
    <w:rsid w:val="003A583E"/>
    <w:rsid w:val="003E112B"/>
    <w:rsid w:val="003E1D1C"/>
    <w:rsid w:val="003E7B05"/>
    <w:rsid w:val="00466211"/>
    <w:rsid w:val="004834A9"/>
    <w:rsid w:val="004D01FC"/>
    <w:rsid w:val="004E28C3"/>
    <w:rsid w:val="004F1116"/>
    <w:rsid w:val="004F1F8E"/>
    <w:rsid w:val="00512A32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55A17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43E23"/>
    <w:rsid w:val="00A606C3"/>
    <w:rsid w:val="00A83B09"/>
    <w:rsid w:val="00A84541"/>
    <w:rsid w:val="00AB745A"/>
    <w:rsid w:val="00AE36A0"/>
    <w:rsid w:val="00B00294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DE4A19"/>
    <w:rsid w:val="00E03A27"/>
    <w:rsid w:val="00E049F1"/>
    <w:rsid w:val="00E37A25"/>
    <w:rsid w:val="00E537FF"/>
    <w:rsid w:val="00E55D2E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0894CF4-23FC-4BCA-BC8F-B99FC60B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R15-WRC15-C-0032!A23-A1-A3!MSW-F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D9ABFB-8ABA-4FA6-AD28-B92F95440FE0}">
  <ds:schemaRefs>
    <ds:schemaRef ds:uri="http://purl.org/dc/dcmitype/"/>
    <ds:schemaRef ds:uri="32a1a8c5-2265-4ebc-b7a0-2071e2c5c9bb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222</Words>
  <Characters>1390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R15-WRC15-C-0032!A23-A1-A3!MSW-F</vt:lpstr>
    </vt:vector>
  </TitlesOfParts>
  <Manager>Secrétariat général - Pool</Manager>
  <Company>Union internationale des télécommunications (UIT)</Company>
  <LinksUpToDate>false</LinksUpToDate>
  <CharactersWithSpaces>1591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R15-WRC15-C-0032!A23-A1-A3!MSW-F</dc:title>
  <dc:subject>Conférence mondiale des radiocommunications - 2015</dc:subject>
  <dc:creator>Documents Proposals Manager (DPM)</dc:creator>
  <cp:keywords>DPM_v5.2015.9.16_prod</cp:keywords>
  <dc:description/>
  <cp:lastModifiedBy>Jones, Jacqueline</cp:lastModifiedBy>
  <cp:revision>4</cp:revision>
  <cp:lastPrinted>2015-10-08T11:43:00Z</cp:lastPrinted>
  <dcterms:created xsi:type="dcterms:W3CDTF">2015-10-07T14:39:00Z</dcterms:created>
  <dcterms:modified xsi:type="dcterms:W3CDTF">2015-10-08T11:43:00Z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