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5954"/>
        <w:gridCol w:w="4077"/>
      </w:tblGrid>
      <w:tr w:rsidR="00622560" w:rsidTr="000415E9">
        <w:trPr>
          <w:cantSplit/>
        </w:trPr>
        <w:tc>
          <w:tcPr>
            <w:tcW w:w="5954"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4077"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3195DFB4" wp14:editId="5DB3CE5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0415E9">
        <w:trPr>
          <w:cantSplit/>
        </w:trPr>
        <w:tc>
          <w:tcPr>
            <w:tcW w:w="5954"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4077"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0415E9">
        <w:trPr>
          <w:cantSplit/>
        </w:trPr>
        <w:tc>
          <w:tcPr>
            <w:tcW w:w="5954"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4077"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0415E9">
        <w:trPr>
          <w:cantSplit/>
          <w:trHeight w:val="23"/>
        </w:trPr>
        <w:tc>
          <w:tcPr>
            <w:tcW w:w="5954"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4077" w:type="dxa"/>
            <w:shd w:val="clear" w:color="auto" w:fill="auto"/>
          </w:tcPr>
          <w:p w:rsidR="00622560" w:rsidRPr="00622560" w:rsidRDefault="000273B7" w:rsidP="00D24FA8">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w:t>
            </w:r>
            <w:r w:rsidR="00D162FE">
              <w:rPr>
                <w:rFonts w:ascii="Verdana" w:hAnsi="Verdana" w:cs="Traditional Arabic"/>
                <w:b/>
                <w:sz w:val="20"/>
              </w:rPr>
              <w:t>23</w:t>
            </w:r>
            <w:r>
              <w:rPr>
                <w:rFonts w:ascii="Verdana" w:hAnsi="Verdana" w:cs="Traditional Arabic"/>
                <w:b/>
                <w:sz w:val="20"/>
              </w:rPr>
              <w:t>)(Add.</w:t>
            </w:r>
            <w:r w:rsidR="00D162FE">
              <w:rPr>
                <w:rFonts w:ascii="Verdana" w:hAnsi="Verdana" w:cs="Traditional Arabic"/>
                <w:b/>
                <w:sz w:val="20"/>
              </w:rPr>
              <w:t>1</w:t>
            </w:r>
            <w:r>
              <w:rPr>
                <w:rFonts w:ascii="Verdana" w:hAnsi="Verdana" w:cs="Traditional Arabic"/>
                <w:b/>
                <w:sz w:val="20"/>
              </w:rPr>
              <w:t>)(Add.</w:t>
            </w:r>
            <w:r w:rsidR="00D162FE">
              <w:rPr>
                <w:rFonts w:ascii="Verdana" w:hAnsi="Verdana" w:cs="Traditional Arabic"/>
                <w:b/>
                <w:sz w:val="20"/>
              </w:rPr>
              <w:t>3</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0415E9">
        <w:trPr>
          <w:cantSplit/>
          <w:trHeight w:val="23"/>
        </w:trPr>
        <w:tc>
          <w:tcPr>
            <w:tcW w:w="5954" w:type="dxa"/>
            <w:shd w:val="clear" w:color="auto" w:fill="auto"/>
          </w:tcPr>
          <w:p w:rsidR="008221A4" w:rsidRPr="00C324A8" w:rsidRDefault="008221A4" w:rsidP="00A466E6">
            <w:pPr>
              <w:spacing w:before="0"/>
              <w:rPr>
                <w:rFonts w:ascii="Verdana" w:hAnsi="Verdana"/>
                <w:b/>
                <w:smallCaps/>
                <w:sz w:val="20"/>
              </w:rPr>
            </w:pPr>
          </w:p>
        </w:tc>
        <w:tc>
          <w:tcPr>
            <w:tcW w:w="4077"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0415E9">
        <w:trPr>
          <w:cantSplit/>
          <w:trHeight w:val="23"/>
        </w:trPr>
        <w:tc>
          <w:tcPr>
            <w:tcW w:w="5954" w:type="dxa"/>
          </w:tcPr>
          <w:p w:rsidR="008221A4" w:rsidRPr="00CB4E5A" w:rsidRDefault="008221A4" w:rsidP="00A466E6">
            <w:pPr>
              <w:spacing w:before="0"/>
              <w:rPr>
                <w:rFonts w:ascii="Verdana" w:hAnsi="Verdana"/>
                <w:b/>
                <w:bCs/>
                <w:sz w:val="20"/>
              </w:rPr>
            </w:pPr>
          </w:p>
        </w:tc>
        <w:tc>
          <w:tcPr>
            <w:tcW w:w="4077"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D162FE" w:rsidP="008221A4">
            <w:pPr>
              <w:pStyle w:val="Title1"/>
              <w:rPr>
                <w:lang w:eastAsia="zh-CN"/>
              </w:rPr>
            </w:pPr>
            <w:bookmarkStart w:id="5" w:name="dtitle1" w:colFirst="0" w:colLast="0"/>
            <w:bookmarkEnd w:id="4"/>
            <w:r>
              <w:rPr>
                <w:rFonts w:hint="eastAsia"/>
                <w:lang w:eastAsia="zh-CN"/>
              </w:rPr>
              <w:t>有关大会</w:t>
            </w:r>
            <w:r>
              <w:rPr>
                <w:lang w:eastAsia="zh-CN"/>
              </w:rPr>
              <w:t>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9.1(9.1.3)</w:t>
            </w:r>
          </w:p>
        </w:tc>
      </w:tr>
    </w:tbl>
    <w:bookmarkEnd w:id="7"/>
    <w:p w:rsidR="008B60D0" w:rsidRPr="00676FBA" w:rsidRDefault="00213351" w:rsidP="00D24FA8">
      <w:pPr>
        <w:pStyle w:val="Normalaftertitle0"/>
        <w:rPr>
          <w:lang w:eastAsia="zh-CN"/>
        </w:rPr>
      </w:pPr>
      <w:r w:rsidRPr="009C33AA">
        <w:rPr>
          <w:lang w:eastAsia="zh-CN"/>
        </w:rPr>
        <w:t>9</w:t>
      </w:r>
      <w:r w:rsidRPr="009C33AA">
        <w:rPr>
          <w:lang w:eastAsia="zh-CN"/>
        </w:rPr>
        <w:tab/>
      </w:r>
      <w:r w:rsidRPr="009C33AA">
        <w:rPr>
          <w:rFonts w:hint="eastAsia"/>
          <w:lang w:val="zh-CN" w:eastAsia="zh-CN"/>
        </w:rPr>
        <w:t>按照《公约》第</w:t>
      </w:r>
      <w:r w:rsidRPr="009C33AA">
        <w:rPr>
          <w:lang w:eastAsia="zh-CN"/>
        </w:rPr>
        <w:t>7</w:t>
      </w:r>
      <w:r w:rsidRPr="009C33AA">
        <w:rPr>
          <w:rFonts w:hint="eastAsia"/>
          <w:lang w:val="zh-CN" w:eastAsia="zh-CN"/>
        </w:rPr>
        <w:t>条，</w:t>
      </w:r>
      <w:r w:rsidRPr="009C33AA">
        <w:rPr>
          <w:rFonts w:hint="eastAsia"/>
          <w:lang w:eastAsia="zh-CN"/>
        </w:rPr>
        <w:t>审议</w:t>
      </w:r>
      <w:r w:rsidRPr="009C33AA">
        <w:rPr>
          <w:rFonts w:hint="eastAsia"/>
          <w:lang w:val="zh-CN" w:eastAsia="zh-CN"/>
        </w:rPr>
        <w:t>并批准无线电通信局主任关于下列内容的报告：</w:t>
      </w:r>
    </w:p>
    <w:p w:rsidR="00090E12" w:rsidRPr="009C33AA" w:rsidRDefault="00213351" w:rsidP="00090E12">
      <w:pPr>
        <w:rPr>
          <w:lang w:eastAsia="zh-CN"/>
        </w:rPr>
      </w:pPr>
      <w:r w:rsidRPr="009C33AA">
        <w:rPr>
          <w:lang w:eastAsia="zh-CN"/>
        </w:rPr>
        <w:t>9.1</w:t>
      </w:r>
      <w:r w:rsidRPr="009C33AA">
        <w:rPr>
          <w:b/>
          <w:lang w:eastAsia="zh-CN"/>
        </w:rPr>
        <w:tab/>
      </w:r>
      <w:r w:rsidRPr="009C33AA">
        <w:rPr>
          <w:rFonts w:hint="eastAsia"/>
          <w:color w:val="000000"/>
          <w:lang w:eastAsia="zh-CN"/>
        </w:rPr>
        <w:t>自</w:t>
      </w:r>
      <w:r w:rsidRPr="009C33AA">
        <w:rPr>
          <w:color w:val="000000"/>
          <w:lang w:eastAsia="zh-CN"/>
        </w:rPr>
        <w:t>WRC-12</w:t>
      </w:r>
      <w:r w:rsidRPr="009C33AA">
        <w:rPr>
          <w:rFonts w:hint="eastAsia"/>
          <w:color w:val="000000"/>
          <w:lang w:eastAsia="zh-CN"/>
        </w:rPr>
        <w:t>以来无线电通信部门的活动；</w:t>
      </w:r>
    </w:p>
    <w:p w:rsidR="008B60D0" w:rsidRPr="00676FBA" w:rsidRDefault="00213351" w:rsidP="00093BB1">
      <w:pPr>
        <w:rPr>
          <w:lang w:eastAsia="zh-CN"/>
        </w:rPr>
      </w:pPr>
      <w:r w:rsidRPr="009C33AA">
        <w:rPr>
          <w:lang w:eastAsia="zh-CN"/>
        </w:rPr>
        <w:t>9.1</w:t>
      </w:r>
      <w:r>
        <w:rPr>
          <w:lang w:eastAsia="zh-CN"/>
        </w:rPr>
        <w:t>(9.1.3)</w:t>
      </w:r>
      <w:r w:rsidRPr="009C33AA">
        <w:rPr>
          <w:b/>
          <w:lang w:eastAsia="zh-CN"/>
        </w:rPr>
        <w:tab/>
      </w:r>
      <w:r>
        <w:rPr>
          <w:rFonts w:hint="eastAsia"/>
          <w:lang w:eastAsia="zh-CN"/>
        </w:rPr>
        <w:t>第</w:t>
      </w:r>
      <w:r w:rsidRPr="001D720F">
        <w:rPr>
          <w:rFonts w:hint="eastAsia"/>
          <w:b/>
          <w:bCs/>
          <w:lang w:eastAsia="zh-CN"/>
        </w:rPr>
        <w:t>11</w:t>
      </w:r>
      <w:r>
        <w:rPr>
          <w:rFonts w:hint="eastAsia"/>
          <w:lang w:eastAsia="zh-CN"/>
        </w:rPr>
        <w:t>号决议</w:t>
      </w:r>
      <w:r w:rsidRPr="001D720F">
        <w:rPr>
          <w:rFonts w:hint="eastAsia"/>
          <w:b/>
          <w:bCs/>
          <w:lang w:eastAsia="zh-CN"/>
        </w:rPr>
        <w:t>（</w:t>
      </w:r>
      <w:r w:rsidRPr="001D720F">
        <w:rPr>
          <w:rFonts w:hint="eastAsia"/>
          <w:b/>
          <w:bCs/>
          <w:lang w:eastAsia="zh-CN"/>
        </w:rPr>
        <w:t>WRC-12</w:t>
      </w:r>
      <w:r w:rsidRPr="001D720F">
        <w:rPr>
          <w:rFonts w:hint="eastAsia"/>
          <w:b/>
          <w:bCs/>
          <w:lang w:eastAsia="zh-CN"/>
        </w:rPr>
        <w:t>）</w:t>
      </w:r>
      <w:r w:rsidRPr="00D24FA8">
        <w:rPr>
          <w:lang w:eastAsia="zh-CN"/>
        </w:rPr>
        <w:t>–</w:t>
      </w:r>
      <w:r>
        <w:rPr>
          <w:rFonts w:hint="eastAsia"/>
          <w:lang w:eastAsia="zh-CN"/>
        </w:rPr>
        <w:t xml:space="preserve"> </w:t>
      </w:r>
      <w:r>
        <w:rPr>
          <w:rFonts w:hint="eastAsia"/>
          <w:lang w:eastAsia="zh-CN"/>
        </w:rPr>
        <w:t>使用卫星轨位和相关频率频谱在发展中国家提供国际公共电信业务</w:t>
      </w:r>
    </w:p>
    <w:p w:rsidR="00622560" w:rsidRDefault="00622560" w:rsidP="0083672D">
      <w:pPr>
        <w:rPr>
          <w:lang w:eastAsia="zh-CN"/>
        </w:rPr>
      </w:pPr>
    </w:p>
    <w:p w:rsidR="00D162FE" w:rsidRPr="00D04309" w:rsidRDefault="00D162FE" w:rsidP="00D162FE">
      <w:pPr>
        <w:pStyle w:val="Headingb"/>
        <w:rPr>
          <w:lang w:eastAsia="zh-CN"/>
        </w:rPr>
      </w:pPr>
      <w:r>
        <w:rPr>
          <w:rFonts w:hint="eastAsia"/>
          <w:lang w:eastAsia="zh-CN"/>
        </w:rPr>
        <w:t>引言</w:t>
      </w:r>
    </w:p>
    <w:p w:rsidR="00D162FE" w:rsidRPr="00662246" w:rsidRDefault="002A4F4D" w:rsidP="00D24FA8">
      <w:pPr>
        <w:ind w:firstLineChars="200" w:firstLine="480"/>
        <w:rPr>
          <w:rFonts w:eastAsiaTheme="minorEastAsia"/>
          <w:iCs/>
          <w:lang w:val="en-AU" w:eastAsia="zh-CN"/>
        </w:rPr>
      </w:pPr>
      <w:r>
        <w:rPr>
          <w:rFonts w:eastAsiaTheme="minorEastAsia" w:hint="eastAsia"/>
          <w:lang w:val="en-AU" w:eastAsia="zh-CN"/>
        </w:rPr>
        <w:t>亚太电信组织成员支持以同样的方式在平等的基础上处理卫星网络申报资料。</w:t>
      </w:r>
    </w:p>
    <w:p w:rsidR="00D162FE" w:rsidRPr="00662246" w:rsidRDefault="002A4F4D" w:rsidP="00D24FA8">
      <w:pPr>
        <w:ind w:firstLineChars="200" w:firstLine="480"/>
        <w:rPr>
          <w:lang w:val="en-AU" w:eastAsia="zh-CN"/>
        </w:rPr>
      </w:pPr>
      <w:r>
        <w:rPr>
          <w:rFonts w:hint="eastAsia"/>
          <w:lang w:val="en-AU" w:eastAsia="zh-CN"/>
        </w:rPr>
        <w:t>亚太电信组织成员支持不对《无线电规则》做出修改，第</w:t>
      </w:r>
      <w:r>
        <w:rPr>
          <w:rFonts w:hint="eastAsia"/>
          <w:lang w:val="en-AU" w:eastAsia="zh-CN"/>
        </w:rPr>
        <w:t>11</w:t>
      </w:r>
      <w:r>
        <w:rPr>
          <w:rFonts w:hint="eastAsia"/>
          <w:lang w:val="en-AU" w:eastAsia="zh-CN"/>
        </w:rPr>
        <w:t>号决议</w:t>
      </w:r>
      <w:r w:rsidR="00D24FA8">
        <w:rPr>
          <w:rFonts w:hint="eastAsia"/>
          <w:lang w:val="en-AU" w:eastAsia="zh-CN"/>
        </w:rPr>
        <w:t>（</w:t>
      </w:r>
      <w:r w:rsidR="00C34D02">
        <w:rPr>
          <w:lang w:val="en-AU" w:eastAsia="ja-JP"/>
        </w:rPr>
        <w:t>WRC</w:t>
      </w:r>
      <w:r w:rsidR="00C34D02">
        <w:rPr>
          <w:lang w:val="en-AU" w:eastAsia="ja-JP"/>
        </w:rPr>
        <w:noBreakHyphen/>
        <w:t>12</w:t>
      </w:r>
      <w:r w:rsidR="00D24FA8">
        <w:rPr>
          <w:rFonts w:hint="eastAsia"/>
          <w:lang w:val="en-AU" w:eastAsia="zh-CN"/>
        </w:rPr>
        <w:t>）</w:t>
      </w:r>
      <w:r>
        <w:rPr>
          <w:rFonts w:hint="eastAsia"/>
          <w:lang w:val="en-AU" w:eastAsia="zh-CN"/>
        </w:rPr>
        <w:t>保持不变。</w:t>
      </w:r>
    </w:p>
    <w:p w:rsidR="00D162FE" w:rsidRDefault="00D162FE" w:rsidP="00D162FE">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902BA6" w:rsidRDefault="00213351">
      <w:pPr>
        <w:pStyle w:val="Proposal"/>
      </w:pPr>
      <w:r>
        <w:rPr>
          <w:u w:val="single"/>
        </w:rPr>
        <w:lastRenderedPageBreak/>
        <w:t>N</w:t>
      </w:r>
      <w:bookmarkStart w:id="8" w:name="_GoBack"/>
      <w:bookmarkEnd w:id="8"/>
      <w:r>
        <w:rPr>
          <w:u w:val="single"/>
        </w:rPr>
        <w:t>OC</w:t>
      </w:r>
      <w:r>
        <w:tab/>
        <w:t>ASP/32A23A1A3/1</w:t>
      </w:r>
    </w:p>
    <w:p w:rsidR="00DB1CAC" w:rsidRPr="00C77159" w:rsidRDefault="00213351" w:rsidP="00C77159">
      <w:pPr>
        <w:pStyle w:val="ChapNo"/>
        <w:rPr>
          <w:lang w:eastAsia="zh-CN"/>
        </w:rPr>
      </w:pPr>
      <w:bookmarkStart w:id="9" w:name="_Toc329768666"/>
      <w:r w:rsidRPr="00C77159">
        <w:rPr>
          <w:rFonts w:hint="eastAsia"/>
          <w:lang w:eastAsia="zh-CN"/>
        </w:rPr>
        <w:t>第三章</w:t>
      </w:r>
      <w:bookmarkEnd w:id="9"/>
    </w:p>
    <w:p w:rsidR="00E71141" w:rsidRPr="00E71141" w:rsidRDefault="00213351" w:rsidP="00DE3DED">
      <w:pPr>
        <w:pStyle w:val="Chaptitle"/>
        <w:rPr>
          <w:lang w:val="en-US" w:eastAsia="zh-CN"/>
        </w:rPr>
      </w:pPr>
      <w:bookmarkStart w:id="10" w:name="_Toc329768667"/>
      <w:r w:rsidRPr="00C1125C">
        <w:rPr>
          <w:rFonts w:hint="eastAsia"/>
          <w:lang w:eastAsia="zh-CN"/>
        </w:rPr>
        <w:t>频率指配和规划修改的</w:t>
      </w:r>
      <w:r w:rsidRPr="00C1125C">
        <w:rPr>
          <w:lang w:eastAsia="zh-CN"/>
        </w:rPr>
        <w:br/>
      </w:r>
      <w:r w:rsidRPr="00C1125C">
        <w:rPr>
          <w:rFonts w:hint="eastAsia"/>
          <w:lang w:eastAsia="zh-CN"/>
        </w:rPr>
        <w:t>协调、通知和</w:t>
      </w:r>
      <w:r>
        <w:rPr>
          <w:rFonts w:hint="eastAsia"/>
          <w:lang w:eastAsia="zh-CN"/>
        </w:rPr>
        <w:t>登记</w:t>
      </w:r>
      <w:bookmarkEnd w:id="10"/>
    </w:p>
    <w:p w:rsidR="00902BA6" w:rsidRDefault="00902BA6" w:rsidP="00213351">
      <w:pPr>
        <w:pStyle w:val="Reasons"/>
      </w:pPr>
    </w:p>
    <w:p w:rsidR="00902BA6" w:rsidRPr="000415E9" w:rsidRDefault="00213351" w:rsidP="000415E9">
      <w:pPr>
        <w:pStyle w:val="Proposal"/>
      </w:pPr>
      <w:r w:rsidRPr="000415E9">
        <w:rPr>
          <w:u w:val="single"/>
        </w:rPr>
        <w:t>NOC</w:t>
      </w:r>
      <w:r w:rsidRPr="000415E9">
        <w:tab/>
        <w:t>ASP/32A23A1A3/2</w:t>
      </w:r>
    </w:p>
    <w:p w:rsidR="007B4F46" w:rsidRPr="000415E9" w:rsidRDefault="00213351" w:rsidP="000415E9">
      <w:pPr>
        <w:pStyle w:val="ResNo"/>
        <w:rPr>
          <w:lang w:eastAsia="zh-CN"/>
        </w:rPr>
      </w:pPr>
      <w:bookmarkStart w:id="11" w:name="_Toc328052962"/>
      <w:r w:rsidRPr="000415E9">
        <w:rPr>
          <w:rFonts w:hint="eastAsia"/>
          <w:lang w:eastAsia="zh-CN"/>
        </w:rPr>
        <w:t>第</w:t>
      </w:r>
      <w:r w:rsidRPr="000415E9">
        <w:rPr>
          <w:rStyle w:val="href"/>
          <w:rFonts w:hint="eastAsia"/>
          <w:lang w:eastAsia="zh-CN"/>
        </w:rPr>
        <w:t>11</w:t>
      </w:r>
      <w:r w:rsidRPr="000415E9">
        <w:rPr>
          <w:rFonts w:hint="eastAsia"/>
          <w:lang w:eastAsia="zh-CN"/>
        </w:rPr>
        <w:t>号决议（</w:t>
      </w:r>
      <w:r w:rsidRPr="000415E9">
        <w:rPr>
          <w:lang w:eastAsia="zh-CN"/>
        </w:rPr>
        <w:t>WRC-12</w:t>
      </w:r>
      <w:r w:rsidRPr="000415E9">
        <w:rPr>
          <w:rFonts w:hint="eastAsia"/>
          <w:lang w:eastAsia="zh-CN"/>
        </w:rPr>
        <w:t>）</w:t>
      </w:r>
      <w:bookmarkEnd w:id="11"/>
    </w:p>
    <w:p w:rsidR="007B4F46" w:rsidRPr="000415E9" w:rsidRDefault="00213351" w:rsidP="000415E9">
      <w:pPr>
        <w:pStyle w:val="Restitle"/>
        <w:rPr>
          <w:lang w:eastAsia="zh-CN"/>
        </w:rPr>
      </w:pPr>
      <w:bookmarkStart w:id="12" w:name="_Toc328052963"/>
      <w:r w:rsidRPr="000415E9">
        <w:rPr>
          <w:rFonts w:hint="eastAsia"/>
          <w:lang w:eastAsia="zh-CN"/>
        </w:rPr>
        <w:t>使用卫星轨位和相关频率频谱在发展中国家</w:t>
      </w:r>
      <w:r w:rsidRPr="000415E9">
        <w:rPr>
          <w:lang w:eastAsia="zh-CN"/>
        </w:rPr>
        <w:br/>
      </w:r>
      <w:r w:rsidRPr="000415E9">
        <w:rPr>
          <w:rFonts w:hint="eastAsia"/>
          <w:lang w:eastAsia="zh-CN"/>
        </w:rPr>
        <w:t>提供国际公共电信业务</w:t>
      </w:r>
      <w:bookmarkEnd w:id="12"/>
    </w:p>
    <w:p w:rsidR="00902BA6" w:rsidRDefault="00213351" w:rsidP="00D24FA8">
      <w:pPr>
        <w:pStyle w:val="Reasons"/>
        <w:rPr>
          <w:lang w:eastAsia="zh-CN"/>
        </w:rPr>
      </w:pPr>
      <w:r>
        <w:rPr>
          <w:b/>
          <w:lang w:eastAsia="zh-CN"/>
        </w:rPr>
        <w:t>理由：</w:t>
      </w:r>
      <w:r>
        <w:rPr>
          <w:lang w:eastAsia="zh-CN"/>
        </w:rPr>
        <w:tab/>
      </w:r>
      <w:r w:rsidR="002A4F4D">
        <w:rPr>
          <w:rFonts w:hint="eastAsia"/>
          <w:lang w:eastAsia="ja-JP"/>
        </w:rPr>
        <w:t>CPM</w:t>
      </w:r>
      <w:r w:rsidR="002A4F4D">
        <w:rPr>
          <w:rFonts w:hint="eastAsia"/>
          <w:lang w:eastAsia="zh-CN"/>
        </w:rPr>
        <w:t>报告第</w:t>
      </w:r>
      <w:r w:rsidR="002A4F4D">
        <w:rPr>
          <w:rFonts w:hint="eastAsia"/>
          <w:lang w:eastAsia="ja-JP"/>
        </w:rPr>
        <w:t>5/9.1.3/4.1.1</w:t>
      </w:r>
      <w:r w:rsidR="002A4F4D">
        <w:rPr>
          <w:rFonts w:hint="eastAsia"/>
          <w:lang w:eastAsia="zh-CN"/>
        </w:rPr>
        <w:t>节所述方案</w:t>
      </w:r>
      <w:r>
        <w:rPr>
          <w:rFonts w:hint="eastAsia"/>
          <w:lang w:eastAsia="ja-JP"/>
        </w:rPr>
        <w:t>A</w:t>
      </w:r>
      <w:r w:rsidR="002A4F4D">
        <w:rPr>
          <w:rFonts w:hint="eastAsia"/>
          <w:lang w:eastAsia="zh-CN"/>
        </w:rPr>
        <w:t>未提及第</w:t>
      </w:r>
      <w:r w:rsidR="002A4F4D">
        <w:rPr>
          <w:rFonts w:hint="eastAsia"/>
          <w:lang w:eastAsia="zh-CN"/>
        </w:rPr>
        <w:t>11</w:t>
      </w:r>
      <w:r w:rsidR="002A4F4D">
        <w:rPr>
          <w:rFonts w:hint="eastAsia"/>
          <w:lang w:eastAsia="zh-CN"/>
        </w:rPr>
        <w:t>号决议</w:t>
      </w:r>
      <w:r w:rsidR="00D24FA8">
        <w:rPr>
          <w:rFonts w:hint="eastAsia"/>
          <w:lang w:eastAsia="zh-CN"/>
        </w:rPr>
        <w:t>（</w:t>
      </w:r>
      <w:r w:rsidR="002A4F4D">
        <w:rPr>
          <w:rFonts w:hint="eastAsia"/>
          <w:lang w:eastAsia="ja-JP"/>
        </w:rPr>
        <w:t>WRC-12</w:t>
      </w:r>
      <w:r w:rsidR="00D24FA8">
        <w:rPr>
          <w:rFonts w:hint="eastAsia"/>
          <w:lang w:eastAsia="zh-CN"/>
        </w:rPr>
        <w:t>）</w:t>
      </w:r>
      <w:r w:rsidR="002A4F4D">
        <w:rPr>
          <w:rFonts w:hint="eastAsia"/>
          <w:lang w:eastAsia="zh-CN"/>
        </w:rPr>
        <w:t>。</w:t>
      </w:r>
    </w:p>
    <w:p w:rsidR="00213351" w:rsidRDefault="00213351" w:rsidP="0032202E">
      <w:pPr>
        <w:pStyle w:val="Reasons"/>
        <w:rPr>
          <w:lang w:eastAsia="zh-CN"/>
        </w:rPr>
      </w:pPr>
    </w:p>
    <w:p w:rsidR="00213351" w:rsidRDefault="00213351">
      <w:pPr>
        <w:jc w:val="center"/>
      </w:pPr>
      <w:r>
        <w:t>______________</w:t>
      </w:r>
    </w:p>
    <w:p w:rsidR="00213351" w:rsidRDefault="00213351">
      <w:pPr>
        <w:pStyle w:val="Reasons"/>
      </w:pPr>
    </w:p>
    <w:sectPr w:rsidR="00213351">
      <w:headerReference w:type="even" r:id="rId11"/>
      <w:headerReference w:type="default" r:id="rId12"/>
      <w:footerReference w:type="even" r:id="rId13"/>
      <w:footerReference w:type="default" r:id="rId14"/>
      <w:headerReference w:type="first" r:id="rId15"/>
      <w:footerReference w:type="first" r:id="rId16"/>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F4" w:rsidRDefault="00D76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760F4" w:rsidRDefault="00D760F4" w:rsidP="00D760F4">
    <w:pPr>
      <w:pStyle w:val="Footer"/>
      <w:rPr>
        <w:lang w:val="en-US"/>
      </w:rPr>
    </w:pPr>
    <w:r>
      <w:fldChar w:fldCharType="begin"/>
    </w:r>
    <w:r w:rsidRPr="00DA0469">
      <w:rPr>
        <w:lang w:val="en-US"/>
      </w:rPr>
      <w:instrText xml:space="preserve"> FILENAME \p \* MERGEFORMAT </w:instrText>
    </w:r>
    <w:r>
      <w:fldChar w:fldCharType="separate"/>
    </w:r>
    <w:r w:rsidR="0062303F">
      <w:rPr>
        <w:lang w:val="en-US"/>
      </w:rPr>
      <w:t>P:\CHI\ITU-R\CONF-R\CMR15\000\032ADD23ADD01ADD03C.docx</w:t>
    </w:r>
    <w:r>
      <w:fldChar w:fldCharType="end"/>
    </w:r>
    <w:r>
      <w:rPr>
        <w:lang w:val="en-US"/>
      </w:rPr>
      <w:t xml:space="preserve"> (387350)</w:t>
    </w:r>
    <w:r w:rsidRPr="00DA0469">
      <w:rPr>
        <w:lang w:val="en-US"/>
      </w:rPr>
      <w:tab/>
    </w:r>
    <w:r>
      <w:fldChar w:fldCharType="begin"/>
    </w:r>
    <w:r>
      <w:instrText xml:space="preserve"> savedate \@ dd.MM.yy </w:instrText>
    </w:r>
    <w:r>
      <w:fldChar w:fldCharType="separate"/>
    </w:r>
    <w:r w:rsidR="0062303F">
      <w:t>08.10.15</w:t>
    </w:r>
    <w:r>
      <w:fldChar w:fldCharType="end"/>
    </w:r>
    <w:r w:rsidRPr="00DA0469">
      <w:rPr>
        <w:lang w:val="en-US"/>
      </w:rPr>
      <w:tab/>
    </w:r>
    <w:r>
      <w:fldChar w:fldCharType="begin"/>
    </w:r>
    <w:r>
      <w:instrText xml:space="preserve"> printdate \@ dd.MM.yy </w:instrText>
    </w:r>
    <w:r>
      <w:fldChar w:fldCharType="separate"/>
    </w:r>
    <w:r w:rsidR="0062303F">
      <w:t>08.10.15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62303F">
      <w:rPr>
        <w:lang w:val="en-US"/>
      </w:rPr>
      <w:t>P:\CHI\ITU-R\CONF-R\CMR15\000\032ADD23ADD01ADD03C.docx</w:t>
    </w:r>
    <w:r>
      <w:fldChar w:fldCharType="end"/>
    </w:r>
    <w:r w:rsidR="00D760F4">
      <w:rPr>
        <w:lang w:val="en-US"/>
      </w:rPr>
      <w:t xml:space="preserve"> (387350)</w:t>
    </w:r>
    <w:r w:rsidRPr="00DA0469">
      <w:rPr>
        <w:lang w:val="en-US"/>
      </w:rPr>
      <w:tab/>
    </w:r>
    <w:r>
      <w:fldChar w:fldCharType="begin"/>
    </w:r>
    <w:r>
      <w:instrText xml:space="preserve"> savedate \@ dd.MM.yy </w:instrText>
    </w:r>
    <w:r>
      <w:fldChar w:fldCharType="separate"/>
    </w:r>
    <w:r w:rsidR="0062303F">
      <w:t>08.10.15</w:t>
    </w:r>
    <w:r>
      <w:fldChar w:fldCharType="end"/>
    </w:r>
    <w:r w:rsidRPr="00DA0469">
      <w:rPr>
        <w:lang w:val="en-US"/>
      </w:rPr>
      <w:tab/>
    </w:r>
    <w:r>
      <w:fldChar w:fldCharType="begin"/>
    </w:r>
    <w:r>
      <w:instrText xml:space="preserve"> printdate \@ dd.MM.yy </w:instrText>
    </w:r>
    <w:r>
      <w:fldChar w:fldCharType="separate"/>
    </w:r>
    <w:r w:rsidR="0062303F">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F4" w:rsidRDefault="00D76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2303F">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32(Add.23)(Add.1)(Add.3)-</w:t>
    </w:r>
    <w:r w:rsidR="00C929E0"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0F4" w:rsidRDefault="00D760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415E9"/>
    <w:rsid w:val="000C09BA"/>
    <w:rsid w:val="000C1F1E"/>
    <w:rsid w:val="000C6AA7"/>
    <w:rsid w:val="000E26F6"/>
    <w:rsid w:val="00123C07"/>
    <w:rsid w:val="00166859"/>
    <w:rsid w:val="001765EC"/>
    <w:rsid w:val="001853E8"/>
    <w:rsid w:val="001B6360"/>
    <w:rsid w:val="001F4EA6"/>
    <w:rsid w:val="00213351"/>
    <w:rsid w:val="00214959"/>
    <w:rsid w:val="002260A6"/>
    <w:rsid w:val="002742B3"/>
    <w:rsid w:val="002A4C9C"/>
    <w:rsid w:val="002A4F4D"/>
    <w:rsid w:val="002B509B"/>
    <w:rsid w:val="002E2A59"/>
    <w:rsid w:val="002E4507"/>
    <w:rsid w:val="00305254"/>
    <w:rsid w:val="003169D2"/>
    <w:rsid w:val="003B4BEF"/>
    <w:rsid w:val="003C6B45"/>
    <w:rsid w:val="0041282E"/>
    <w:rsid w:val="00437869"/>
    <w:rsid w:val="00465A34"/>
    <w:rsid w:val="004C4554"/>
    <w:rsid w:val="004D2DEC"/>
    <w:rsid w:val="004F2BE6"/>
    <w:rsid w:val="00527E8A"/>
    <w:rsid w:val="00542E85"/>
    <w:rsid w:val="00562479"/>
    <w:rsid w:val="00576849"/>
    <w:rsid w:val="005A0ACB"/>
    <w:rsid w:val="005E08D2"/>
    <w:rsid w:val="005E7FD8"/>
    <w:rsid w:val="00622560"/>
    <w:rsid w:val="0062303F"/>
    <w:rsid w:val="00644391"/>
    <w:rsid w:val="00647712"/>
    <w:rsid w:val="00662E12"/>
    <w:rsid w:val="00691142"/>
    <w:rsid w:val="006B67CE"/>
    <w:rsid w:val="006C38ED"/>
    <w:rsid w:val="006E6182"/>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02BA6"/>
    <w:rsid w:val="00912959"/>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4D02"/>
    <w:rsid w:val="00C364B1"/>
    <w:rsid w:val="00C47D87"/>
    <w:rsid w:val="00C627F9"/>
    <w:rsid w:val="00C6584D"/>
    <w:rsid w:val="00C929E0"/>
    <w:rsid w:val="00CB4E5A"/>
    <w:rsid w:val="00CC73D7"/>
    <w:rsid w:val="00CF0AD7"/>
    <w:rsid w:val="00CF0BE1"/>
    <w:rsid w:val="00D162FE"/>
    <w:rsid w:val="00D24FA8"/>
    <w:rsid w:val="00D52A14"/>
    <w:rsid w:val="00D6206A"/>
    <w:rsid w:val="00D74599"/>
    <w:rsid w:val="00D760F4"/>
    <w:rsid w:val="00DA0469"/>
    <w:rsid w:val="00DD13B7"/>
    <w:rsid w:val="00DF3B0C"/>
    <w:rsid w:val="00E14984"/>
    <w:rsid w:val="00E22A25"/>
    <w:rsid w:val="00E560F1"/>
    <w:rsid w:val="00E92319"/>
    <w:rsid w:val="00EA19B5"/>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2BA7E5-E320-411E-A256-26F48F5A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R15-WRC15-C-0032!A23-A1-A3!MSW-C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86B0B-0D52-4E0C-8C21-4376EC5F85DD}">
  <ds:schemaRefs>
    <ds:schemaRef ds:uri="http://schemas.microsoft.com/office/2006/metadata/properties"/>
    <ds:schemaRef ds:uri="32a1a8c5-2265-4ebc-b7a0-2071e2c5c9bb"/>
    <ds:schemaRef ds:uri="996b2e75-67fd-4955-a3b0-5ab9934cb50b"/>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470</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R15-WRC15-C-0032!A23-A1-A3!MSW-C</vt:lpstr>
    </vt:vector>
  </TitlesOfParts>
  <Manager>General Secretariat - Pool</Manager>
  <Company>International Telecommunication Union (ITU)</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R15-WRC15-C-0032!A23-A1-A3!MSW-C</dc:title>
  <dc:subject>World Radiocommunication Conference - 2015</dc:subject>
  <dc:creator>Documents Proposals Manager (DPM)</dc:creator>
  <cp:keywords>DPM_v5.2015.9.16_prod</cp:keywords>
  <dc:description/>
  <cp:lastModifiedBy>Zheng, Bingyue</cp:lastModifiedBy>
  <cp:revision>6</cp:revision>
  <cp:lastPrinted>2015-10-08T14:29:00Z</cp:lastPrinted>
  <dcterms:created xsi:type="dcterms:W3CDTF">2015-10-06T13:09:00Z</dcterms:created>
  <dcterms:modified xsi:type="dcterms:W3CDTF">2015-10-08T14:29:00Z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