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27"/>
        <w:gridCol w:w="3204"/>
      </w:tblGrid>
      <w:tr w:rsidR="0090121B" w:rsidRPr="0002785D" w:rsidTr="002B1956">
        <w:trPr>
          <w:cantSplit/>
        </w:trPr>
        <w:tc>
          <w:tcPr>
            <w:tcW w:w="6827" w:type="dxa"/>
          </w:tcPr>
          <w:p w:rsidR="0090121B" w:rsidRPr="0037081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04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2857F2DB" wp14:editId="510C91C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B1956">
        <w:trPr>
          <w:cantSplit/>
        </w:trPr>
        <w:tc>
          <w:tcPr>
            <w:tcW w:w="6827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2B1956">
        <w:trPr>
          <w:cantSplit/>
        </w:trPr>
        <w:tc>
          <w:tcPr>
            <w:tcW w:w="68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B1956">
        <w:trPr>
          <w:cantSplit/>
        </w:trPr>
        <w:tc>
          <w:tcPr>
            <w:tcW w:w="6827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04" w:type="dxa"/>
            <w:shd w:val="clear" w:color="auto" w:fill="auto"/>
          </w:tcPr>
          <w:p w:rsidR="0090121B" w:rsidRPr="0037081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70810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Pr="00370810">
              <w:rPr>
                <w:rFonts w:ascii="Verdana" w:eastAsia="SimSun" w:hAnsi="Verdana" w:cs="Traditional Arabic"/>
                <w:b/>
                <w:sz w:val="20"/>
              </w:rPr>
              <w:br/>
              <w:t>Documento 32(Add.23)</w:t>
            </w:r>
            <w:r w:rsidR="0090121B" w:rsidRPr="00370810">
              <w:rPr>
                <w:rFonts w:ascii="Verdana" w:hAnsi="Verdana"/>
                <w:b/>
                <w:sz w:val="20"/>
              </w:rPr>
              <w:t>-</w:t>
            </w:r>
            <w:r w:rsidRPr="0037081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2B1956">
        <w:trPr>
          <w:cantSplit/>
        </w:trPr>
        <w:tc>
          <w:tcPr>
            <w:tcW w:w="6827" w:type="dxa"/>
            <w:shd w:val="clear" w:color="auto" w:fill="auto"/>
          </w:tcPr>
          <w:p w:rsidR="000A5B9A" w:rsidRPr="0037081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4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2B1956">
        <w:trPr>
          <w:cantSplit/>
        </w:trPr>
        <w:tc>
          <w:tcPr>
            <w:tcW w:w="6827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4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70810" w:rsidRDefault="000A5B9A" w:rsidP="000A5B9A">
            <w:pPr>
              <w:pStyle w:val="Source"/>
            </w:pPr>
            <w:bookmarkStart w:id="2" w:name="dsource" w:colFirst="0" w:colLast="0"/>
            <w:r w:rsidRPr="00370810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70810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370810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7081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666C58">
            <w:pPr>
              <w:pStyle w:val="Agendaitem"/>
              <w:spacing w:before="0"/>
            </w:pPr>
            <w:bookmarkStart w:id="5" w:name="dtitle3" w:colFirst="0" w:colLast="0"/>
            <w:bookmarkEnd w:id="4"/>
            <w:r w:rsidRPr="00AE658F">
              <w:t>Punto 9.1 del orden del día</w:t>
            </w:r>
          </w:p>
        </w:tc>
      </w:tr>
    </w:tbl>
    <w:bookmarkEnd w:id="5"/>
    <w:p w:rsidR="006C20F8" w:rsidRPr="00211854" w:rsidRDefault="00B14E69" w:rsidP="006C20F8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482C06" w:rsidRDefault="00B14E69" w:rsidP="00482C06">
      <w:r w:rsidRPr="00211854">
        <w:t>9.1</w:t>
      </w:r>
      <w:r w:rsidRPr="00211854">
        <w:tab/>
        <w:t>sobre las actividades del Sector de Radiocomunicaciones desde la CMR-12;</w:t>
      </w:r>
    </w:p>
    <w:p w:rsidR="00370810" w:rsidRDefault="00D76F2D" w:rsidP="0066159B">
      <w:r w:rsidRPr="00D76F2D">
        <w:t xml:space="preserve">Las Propuestas Comunes de la </w:t>
      </w:r>
      <w:r w:rsidR="00370810" w:rsidRPr="00D76F2D">
        <w:t xml:space="preserve">APT </w:t>
      </w:r>
      <w:r w:rsidRPr="00D76F2D">
        <w:t>(ACP</w:t>
      </w:r>
      <w:r w:rsidR="00370810" w:rsidRPr="00D76F2D">
        <w:t xml:space="preserve">) </w:t>
      </w:r>
      <w:r w:rsidRPr="00D76F2D">
        <w:t>para el punto</w:t>
      </w:r>
      <w:r w:rsidR="00370810" w:rsidRPr="00D76F2D">
        <w:t xml:space="preserve"> 9.1 </w:t>
      </w:r>
      <w:r w:rsidRPr="00D76F2D">
        <w:t>del orden del d</w:t>
      </w:r>
      <w:r>
        <w:t>ía pueden encontrarse en los siguientes Addenda al presente documento, según la lista que figura más abajo</w:t>
      </w:r>
      <w:r w:rsidR="00370810" w:rsidRPr="00D76F2D">
        <w:t>:</w:t>
      </w:r>
    </w:p>
    <w:p w:rsidR="007A2C4A" w:rsidRPr="00D76F2D" w:rsidRDefault="007A2C4A" w:rsidP="00D76F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836"/>
        <w:gridCol w:w="1701"/>
        <w:gridCol w:w="1837"/>
      </w:tblGrid>
      <w:tr w:rsidR="00370810" w:rsidTr="007A2C4A">
        <w:tc>
          <w:tcPr>
            <w:tcW w:w="1255" w:type="dxa"/>
          </w:tcPr>
          <w:p w:rsidR="00370810" w:rsidRDefault="00D76F2D" w:rsidP="00D76F2D">
            <w:pPr>
              <w:pStyle w:val="Tablehead"/>
            </w:pPr>
            <w:r>
              <w:t>Temas</w:t>
            </w:r>
          </w:p>
        </w:tc>
        <w:tc>
          <w:tcPr>
            <w:tcW w:w="4836" w:type="dxa"/>
          </w:tcPr>
          <w:p w:rsidR="00370810" w:rsidRDefault="00D76F2D" w:rsidP="00D76F2D">
            <w:pPr>
              <w:pStyle w:val="Tablehead"/>
            </w:pPr>
            <w:r>
              <w:t>Título</w:t>
            </w:r>
          </w:p>
        </w:tc>
        <w:tc>
          <w:tcPr>
            <w:tcW w:w="1701" w:type="dxa"/>
          </w:tcPr>
          <w:p w:rsidR="00370810" w:rsidRDefault="00D76F2D" w:rsidP="00D76F2D">
            <w:pPr>
              <w:pStyle w:val="Tablehead"/>
            </w:pPr>
            <w:r>
              <w:t>Addéndum núm</w:t>
            </w:r>
            <w:r w:rsidR="00370810">
              <w:t>.</w:t>
            </w:r>
          </w:p>
        </w:tc>
        <w:tc>
          <w:tcPr>
            <w:tcW w:w="1837" w:type="dxa"/>
          </w:tcPr>
          <w:p w:rsidR="00370810" w:rsidRDefault="00370810" w:rsidP="00D76F2D">
            <w:pPr>
              <w:pStyle w:val="Tablehead"/>
            </w:pPr>
            <w:r>
              <w:t xml:space="preserve">ACP </w:t>
            </w:r>
            <w:r w:rsidR="00D76F2D">
              <w:t>núm</w:t>
            </w:r>
            <w:r>
              <w:t>.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9.1.1</w:t>
            </w:r>
          </w:p>
        </w:tc>
        <w:tc>
          <w:tcPr>
            <w:tcW w:w="4836" w:type="dxa"/>
          </w:tcPr>
          <w:p w:rsidR="001A26C2" w:rsidRPr="00281C29" w:rsidRDefault="001A26C2" w:rsidP="00D76F2D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205 (Rev. CMR-12)</w:t>
            </w:r>
            <w:r w:rsidRPr="00281C29">
              <w:t xml:space="preserve"> </w:t>
            </w:r>
            <w:r w:rsidR="00D76F2D">
              <w:t>–</w:t>
            </w:r>
            <w:r w:rsidRPr="00281C29">
              <w:t xml:space="preserve"> Protección de los sistemas del servicio móvil por satélite que funcionan en la banda 406-406,1 MHz</w:t>
            </w:r>
            <w:bookmarkStart w:id="6" w:name="_GoBack"/>
            <w:bookmarkEnd w:id="6"/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A23-A1-A1</w:t>
            </w:r>
          </w:p>
        </w:tc>
        <w:tc>
          <w:tcPr>
            <w:tcW w:w="1837" w:type="dxa"/>
          </w:tcPr>
          <w:p w:rsidR="001A26C2" w:rsidRDefault="001A26C2" w:rsidP="00666C58">
            <w:pPr>
              <w:pStyle w:val="Tabletext"/>
            </w:pPr>
            <w:r>
              <w:t xml:space="preserve">A23-A1-A1/1 </w:t>
            </w:r>
            <w:r w:rsidR="00666C58">
              <w:t>a</w:t>
            </w:r>
            <w:r>
              <w:t xml:space="preserve"> 3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9.1.3</w:t>
            </w:r>
          </w:p>
        </w:tc>
        <w:tc>
          <w:tcPr>
            <w:tcW w:w="4836" w:type="dxa"/>
          </w:tcPr>
          <w:p w:rsidR="001A26C2" w:rsidRPr="00281C29" w:rsidRDefault="001A26C2" w:rsidP="00D76F2D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11 (CMR-12)</w:t>
            </w:r>
            <w:r w:rsidRPr="00281C29">
              <w:t xml:space="preserve"> </w:t>
            </w:r>
            <w:r w:rsidR="00D76F2D">
              <w:t>–</w:t>
            </w:r>
            <w:r w:rsidRPr="00281C29">
              <w:t xml:space="preserve"> Utilización de las posiciones orbitales de satélite y el espectro de frecuencias asociado para prestar servicios públicos de telecomunicaciones internacionales en países en desarrollo</w:t>
            </w:r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A23-A1-A3</w:t>
            </w:r>
          </w:p>
        </w:tc>
        <w:tc>
          <w:tcPr>
            <w:tcW w:w="1837" w:type="dxa"/>
          </w:tcPr>
          <w:p w:rsidR="001A26C2" w:rsidRDefault="001A26C2" w:rsidP="00666C58">
            <w:pPr>
              <w:pStyle w:val="Tabletext"/>
            </w:pPr>
            <w:r>
              <w:t xml:space="preserve">A23-A1-A3/1 </w:t>
            </w:r>
            <w:r w:rsidR="00666C58">
              <w:t>y</w:t>
            </w:r>
            <w:r>
              <w:t xml:space="preserve"> 2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9.1.4</w:t>
            </w:r>
          </w:p>
        </w:tc>
        <w:tc>
          <w:tcPr>
            <w:tcW w:w="4836" w:type="dxa"/>
          </w:tcPr>
          <w:p w:rsidR="001A26C2" w:rsidRPr="00281C29" w:rsidRDefault="001A26C2" w:rsidP="00D76F2D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67 (CMR-12)</w:t>
            </w:r>
            <w:r w:rsidRPr="00281C29">
              <w:t xml:space="preserve"> </w:t>
            </w:r>
            <w:r w:rsidR="00D76F2D">
              <w:t>–</w:t>
            </w:r>
            <w:r w:rsidRPr="00281C29">
              <w:t xml:space="preserve"> Actualización y reorganización del Reglamento de Radiocomunicaciones</w:t>
            </w:r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A23-A1-A4</w:t>
            </w:r>
          </w:p>
        </w:tc>
        <w:tc>
          <w:tcPr>
            <w:tcW w:w="1837" w:type="dxa"/>
          </w:tcPr>
          <w:p w:rsidR="001A26C2" w:rsidRDefault="001A26C2" w:rsidP="00666C58">
            <w:pPr>
              <w:pStyle w:val="Tabletext"/>
            </w:pPr>
            <w:r>
              <w:t xml:space="preserve">A23-A1-A4/1 </w:t>
            </w:r>
            <w:r w:rsidR="00666C58">
              <w:t>a</w:t>
            </w:r>
            <w:r>
              <w:t xml:space="preserve"> 13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9.1.6</w:t>
            </w:r>
          </w:p>
        </w:tc>
        <w:tc>
          <w:tcPr>
            <w:tcW w:w="4836" w:type="dxa"/>
          </w:tcPr>
          <w:p w:rsidR="001A26C2" w:rsidRPr="00281C29" w:rsidRDefault="001A26C2" w:rsidP="00D76F2D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957 (CMR-12)</w:t>
            </w:r>
            <w:r w:rsidRPr="00281C29">
              <w:t xml:space="preserve"> </w:t>
            </w:r>
            <w:r w:rsidR="00D76F2D">
              <w:t>–</w:t>
            </w:r>
            <w:r w:rsidRPr="00281C29">
              <w:t xml:space="preserve"> Estudios para revisar las definiciones de servicio fijo, estación fija y estación móvil</w:t>
            </w:r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A23-A1-A6</w:t>
            </w:r>
          </w:p>
        </w:tc>
        <w:tc>
          <w:tcPr>
            <w:tcW w:w="1837" w:type="dxa"/>
          </w:tcPr>
          <w:p w:rsidR="001A26C2" w:rsidRDefault="001A26C2" w:rsidP="00666C58">
            <w:pPr>
              <w:pStyle w:val="Tabletext"/>
            </w:pPr>
            <w:r>
              <w:t xml:space="preserve">A23-A1-A6/1 </w:t>
            </w:r>
            <w:r w:rsidR="00666C58">
              <w:t>y</w:t>
            </w:r>
            <w:r>
              <w:t xml:space="preserve"> 2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9.1.7</w:t>
            </w:r>
          </w:p>
        </w:tc>
        <w:tc>
          <w:tcPr>
            <w:tcW w:w="4836" w:type="dxa"/>
          </w:tcPr>
          <w:p w:rsidR="001A26C2" w:rsidRPr="00281C29" w:rsidRDefault="001A26C2" w:rsidP="00D76F2D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647 (Rev.CMR-12)</w:t>
            </w:r>
            <w:r w:rsidRPr="00281C29">
              <w:t xml:space="preserve"> </w:t>
            </w:r>
            <w:r w:rsidR="00D76F2D">
              <w:t>–</w:t>
            </w:r>
            <w:r w:rsidRPr="00281C29">
              <w:t xml:space="preserve"> Directrices sobre gestión del espectro para radiocomunicaciones de emergencia y operaciones de socorro en caso de catástrofe</w:t>
            </w:r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A23-A1-A7</w:t>
            </w:r>
          </w:p>
        </w:tc>
        <w:tc>
          <w:tcPr>
            <w:tcW w:w="1837" w:type="dxa"/>
          </w:tcPr>
          <w:p w:rsidR="001A26C2" w:rsidRDefault="001A26C2" w:rsidP="00D76F2D">
            <w:pPr>
              <w:pStyle w:val="Tabletext"/>
            </w:pPr>
            <w:r>
              <w:t>A23-A1-A7/1</w:t>
            </w:r>
          </w:p>
        </w:tc>
      </w:tr>
      <w:tr w:rsidR="001A26C2" w:rsidTr="007A2C4A">
        <w:tc>
          <w:tcPr>
            <w:tcW w:w="1255" w:type="dxa"/>
          </w:tcPr>
          <w:p w:rsidR="001A26C2" w:rsidRDefault="001A26C2" w:rsidP="00D76F2D">
            <w:pPr>
              <w:pStyle w:val="Tabletext"/>
            </w:pPr>
            <w:r>
              <w:t>9.1.8</w:t>
            </w:r>
          </w:p>
        </w:tc>
        <w:tc>
          <w:tcPr>
            <w:tcW w:w="4836" w:type="dxa"/>
          </w:tcPr>
          <w:p w:rsidR="001A26C2" w:rsidRPr="00281C29" w:rsidRDefault="001A26C2" w:rsidP="00666C58">
            <w:pPr>
              <w:pStyle w:val="Tabletext"/>
            </w:pPr>
            <w:r w:rsidRPr="00281C29">
              <w:t xml:space="preserve">Resolución </w:t>
            </w:r>
            <w:r w:rsidRPr="00281C29">
              <w:rPr>
                <w:b/>
                <w:bCs/>
              </w:rPr>
              <w:t>757 (CMR-12)</w:t>
            </w:r>
            <w:r w:rsidRPr="00281C29">
              <w:t xml:space="preserve"> </w:t>
            </w:r>
            <w:r w:rsidR="00666C58">
              <w:t>–</w:t>
            </w:r>
            <w:r w:rsidRPr="00281C29">
              <w:t xml:space="preserve"> Aspectos reglamentarios de los nanosatélites y los picosatélites</w:t>
            </w:r>
          </w:p>
        </w:tc>
        <w:tc>
          <w:tcPr>
            <w:tcW w:w="1701" w:type="dxa"/>
          </w:tcPr>
          <w:p w:rsidR="001A26C2" w:rsidRDefault="001A26C2" w:rsidP="00D76F2D">
            <w:pPr>
              <w:pStyle w:val="Tabletext"/>
            </w:pPr>
            <w:r>
              <w:t>A23-A1-A8</w:t>
            </w:r>
          </w:p>
        </w:tc>
        <w:tc>
          <w:tcPr>
            <w:tcW w:w="1837" w:type="dxa"/>
          </w:tcPr>
          <w:p w:rsidR="001A26C2" w:rsidRDefault="001A26C2" w:rsidP="00D76F2D">
            <w:pPr>
              <w:pStyle w:val="Tabletext"/>
            </w:pPr>
            <w:r>
              <w:t>A23-A1-A8/1</w:t>
            </w:r>
          </w:p>
        </w:tc>
      </w:tr>
    </w:tbl>
    <w:p w:rsidR="00666C58" w:rsidRDefault="00666C58" w:rsidP="0032202E">
      <w:pPr>
        <w:pStyle w:val="Reasons"/>
      </w:pPr>
    </w:p>
    <w:p w:rsidR="00666C58" w:rsidRDefault="00666C58">
      <w:pPr>
        <w:jc w:val="center"/>
      </w:pPr>
      <w:r>
        <w:t>______________</w:t>
      </w:r>
    </w:p>
    <w:sectPr w:rsidR="00666C5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E21049" w:rsidRDefault="0077084A">
    <w:pPr>
      <w:ind w:right="360"/>
    </w:pPr>
    <w:r>
      <w:fldChar w:fldCharType="begin"/>
    </w:r>
    <w:r w:rsidRPr="00E21049">
      <w:instrText xml:space="preserve"> FILENAME \p  \* MERGEFORMAT </w:instrText>
    </w:r>
    <w:r>
      <w:fldChar w:fldCharType="separate"/>
    </w:r>
    <w:r w:rsidR="00E21049" w:rsidRPr="00E21049">
      <w:rPr>
        <w:noProof/>
      </w:rPr>
      <w:t>P:\ESP\ITU-R\CONF-R\CMR15\000\032ADD23ADD01S.docx</w:t>
    </w:r>
    <w:r>
      <w:fldChar w:fldCharType="end"/>
    </w:r>
    <w:r w:rsidRPr="00E21049">
      <w:tab/>
    </w:r>
    <w:r>
      <w:fldChar w:fldCharType="begin"/>
    </w:r>
    <w:r>
      <w:instrText xml:space="preserve"> SAVEDATE \@ DD.MM.YY </w:instrText>
    </w:r>
    <w:r>
      <w:fldChar w:fldCharType="separate"/>
    </w:r>
    <w:r w:rsidR="00E21049">
      <w:rPr>
        <w:noProof/>
      </w:rPr>
      <w:t>07.10.15</w:t>
    </w:r>
    <w:r>
      <w:fldChar w:fldCharType="end"/>
    </w:r>
    <w:r w:rsidRPr="00E21049">
      <w:tab/>
    </w:r>
    <w:r>
      <w:fldChar w:fldCharType="begin"/>
    </w:r>
    <w:r>
      <w:instrText xml:space="preserve"> PRINTDATE \@ DD.MM.YY </w:instrText>
    </w:r>
    <w:r>
      <w:fldChar w:fldCharType="separate"/>
    </w:r>
    <w:r w:rsidR="00E21049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B14E69" w:rsidRDefault="00B14E69" w:rsidP="00B14E69">
    <w:pPr>
      <w:pStyle w:val="Footer"/>
      <w:tabs>
        <w:tab w:val="clear" w:pos="5954"/>
        <w:tab w:val="left" w:pos="6946"/>
      </w:tabs>
      <w:rPr>
        <w:lang w:val="en-US"/>
      </w:rPr>
    </w:pPr>
    <w:r>
      <w:fldChar w:fldCharType="begin"/>
    </w:r>
    <w:r w:rsidRPr="00370810">
      <w:rPr>
        <w:lang w:val="en-US"/>
      </w:rPr>
      <w:instrText xml:space="preserve"> FILENAME \p  \* MERGEFORMAT </w:instrText>
    </w:r>
    <w:r>
      <w:fldChar w:fldCharType="separate"/>
    </w:r>
    <w:r w:rsidR="00E21049">
      <w:rPr>
        <w:lang w:val="en-US"/>
      </w:rPr>
      <w:t>P:\ESP\ITU-R\CONF-R\CMR15\000\032ADD23ADD01S.docx</w:t>
    </w:r>
    <w:r>
      <w:fldChar w:fldCharType="end"/>
    </w:r>
    <w:r w:rsidRPr="00370810">
      <w:rPr>
        <w:lang w:val="en-US"/>
      </w:rPr>
      <w:t xml:space="preserve"> (387346)</w:t>
    </w:r>
    <w:r w:rsidRPr="0037081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1049">
      <w:t>07.10.15</w:t>
    </w:r>
    <w:r>
      <w:fldChar w:fldCharType="end"/>
    </w:r>
    <w:r w:rsidRPr="0037081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21049"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10" w:rsidRPr="00370810" w:rsidRDefault="00370810" w:rsidP="00370810">
    <w:pPr>
      <w:pStyle w:val="Footer"/>
      <w:tabs>
        <w:tab w:val="clear" w:pos="5954"/>
        <w:tab w:val="left" w:pos="6946"/>
      </w:tabs>
      <w:rPr>
        <w:lang w:val="en-US"/>
      </w:rPr>
    </w:pPr>
    <w:r>
      <w:fldChar w:fldCharType="begin"/>
    </w:r>
    <w:r w:rsidRPr="00370810">
      <w:rPr>
        <w:lang w:val="en-US"/>
      </w:rPr>
      <w:instrText xml:space="preserve"> FILENAME \p  \* MERGEFORMAT </w:instrText>
    </w:r>
    <w:r>
      <w:fldChar w:fldCharType="separate"/>
    </w:r>
    <w:r w:rsidR="00E21049">
      <w:rPr>
        <w:lang w:val="en-US"/>
      </w:rPr>
      <w:t>P:\ESP\ITU-R\CONF-R\CMR15\000\032ADD23ADD01S.docx</w:t>
    </w:r>
    <w:r>
      <w:fldChar w:fldCharType="end"/>
    </w:r>
    <w:r w:rsidRPr="00370810">
      <w:rPr>
        <w:lang w:val="en-US"/>
      </w:rPr>
      <w:t xml:space="preserve"> (387346)</w:t>
    </w:r>
    <w:r w:rsidRPr="0037081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1049">
      <w:t>07.10.15</w:t>
    </w:r>
    <w:r>
      <w:fldChar w:fldCharType="end"/>
    </w:r>
    <w:r w:rsidRPr="0037081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21049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400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32(Add.23)(Add.1)-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0F71A9"/>
    <w:rsid w:val="00121170"/>
    <w:rsid w:val="00123CC5"/>
    <w:rsid w:val="0015142D"/>
    <w:rsid w:val="001616DC"/>
    <w:rsid w:val="00163962"/>
    <w:rsid w:val="00191A97"/>
    <w:rsid w:val="001A083F"/>
    <w:rsid w:val="001A26C2"/>
    <w:rsid w:val="001C41FA"/>
    <w:rsid w:val="001E2B52"/>
    <w:rsid w:val="001E3F27"/>
    <w:rsid w:val="00236D2A"/>
    <w:rsid w:val="00255F12"/>
    <w:rsid w:val="00262C09"/>
    <w:rsid w:val="002A791F"/>
    <w:rsid w:val="002B1956"/>
    <w:rsid w:val="002C1B26"/>
    <w:rsid w:val="002C5D6C"/>
    <w:rsid w:val="002E701F"/>
    <w:rsid w:val="003248A9"/>
    <w:rsid w:val="00324FFA"/>
    <w:rsid w:val="0032680B"/>
    <w:rsid w:val="00363A65"/>
    <w:rsid w:val="00370810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159B"/>
    <w:rsid w:val="00662BA0"/>
    <w:rsid w:val="00666C58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A2C4A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972B5"/>
    <w:rsid w:val="00AA5E6C"/>
    <w:rsid w:val="00AE5677"/>
    <w:rsid w:val="00AE658F"/>
    <w:rsid w:val="00AF2F78"/>
    <w:rsid w:val="00B14E69"/>
    <w:rsid w:val="00B239FA"/>
    <w:rsid w:val="00B52D55"/>
    <w:rsid w:val="00B74000"/>
    <w:rsid w:val="00B8288C"/>
    <w:rsid w:val="00BE2E80"/>
    <w:rsid w:val="00BE5EDD"/>
    <w:rsid w:val="00BE6A1F"/>
    <w:rsid w:val="00BE7035"/>
    <w:rsid w:val="00C126C4"/>
    <w:rsid w:val="00C63EB5"/>
    <w:rsid w:val="00CC01E0"/>
    <w:rsid w:val="00CD5FEE"/>
    <w:rsid w:val="00CE60D2"/>
    <w:rsid w:val="00CE7431"/>
    <w:rsid w:val="00D0288A"/>
    <w:rsid w:val="00D72A5D"/>
    <w:rsid w:val="00D76F2D"/>
    <w:rsid w:val="00DC629B"/>
    <w:rsid w:val="00E05BFF"/>
    <w:rsid w:val="00E21049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33892-BE99-4CB2-9E65-8925BC6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table" w:styleId="TableGrid">
    <w:name w:val="Table Grid"/>
    <w:basedOn w:val="TableNormal"/>
    <w:rsid w:val="0037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2106F-A028-4003-9F9A-3F69E52B8F6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B4805CC-3AAF-4DD5-A1CC-F63AA5E0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1514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R15-WRC15-C-0032!A23-A1!MSW-S</vt:lpstr>
    </vt:vector>
  </TitlesOfParts>
  <Manager>Secretaría General - Pool</Manager>
  <Company>Unión Internacional de Telecomunicaciones (UIT)</Company>
  <LinksUpToDate>false</LinksUpToDate>
  <CharactersWithSpaces>1727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10</cp:revision>
  <cp:lastPrinted>2015-10-07T12:42:00Z</cp:lastPrinted>
  <dcterms:created xsi:type="dcterms:W3CDTF">2015-10-07T12:22:00Z</dcterms:created>
  <dcterms:modified xsi:type="dcterms:W3CDTF">2015-10-07T12:42:00Z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