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D31BB3" w:rsidRDefault="003E1608" w:rsidP="00D31BB3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D31BB3">
              <w:rPr>
                <w:rFonts w:ascii="Verdana" w:hAnsi="Verdana"/>
                <w:rtl/>
              </w:rPr>
              <w:t xml:space="preserve">الإضافة </w:t>
            </w:r>
            <w:r w:rsidRPr="00D31BB3">
              <w:rPr>
                <w:rFonts w:ascii="Verdana" w:hAnsi="Verdana"/>
              </w:rPr>
              <w:t>9</w:t>
            </w:r>
            <w:r w:rsidRPr="00D31BB3">
              <w:rPr>
                <w:rFonts w:ascii="Verdana" w:hAnsi="Verdana"/>
              </w:rPr>
              <w:br/>
            </w:r>
            <w:r w:rsidRPr="00D31BB3">
              <w:rPr>
                <w:rFonts w:ascii="Verdana" w:hAnsi="Verdana"/>
                <w:rtl/>
              </w:rPr>
              <w:t xml:space="preserve">للوثيقة </w:t>
            </w:r>
            <w:r w:rsidRPr="00D31BB3">
              <w:rPr>
                <w:rFonts w:ascii="Verdana" w:hAnsi="Verdana"/>
              </w:rPr>
              <w:t>32(Add.21)-</w:t>
            </w:r>
            <w:r w:rsidR="00D31BB3">
              <w:rPr>
                <w:rFonts w:ascii="Verdana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D31BB3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D31BB3">
              <w:rPr>
                <w:rFonts w:ascii="Verdana" w:eastAsia="SimSun" w:hAnsi="Verdana"/>
              </w:rPr>
              <w:t>29</w:t>
            </w:r>
            <w:r w:rsidRPr="00D31BB3">
              <w:rPr>
                <w:rFonts w:ascii="Verdana" w:eastAsia="SimSun" w:hAnsi="Verdana"/>
                <w:rtl/>
              </w:rPr>
              <w:t xml:space="preserve"> سبتمبر </w:t>
            </w:r>
            <w:r w:rsidRPr="00D31BB3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D31BB3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D31BB3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E3B76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DE3B76" w:rsidRDefault="00D31BB3" w:rsidP="00DE3B76">
            <w:pPr>
              <w:pStyle w:val="Title1"/>
              <w:rPr>
                <w:rtl/>
              </w:rPr>
            </w:pPr>
            <w:r w:rsidRPr="00DE3B76">
              <w:rPr>
                <w:rFonts w:hint="cs"/>
                <w:rtl/>
              </w:rPr>
              <w:t>مقترحات بشأن أعمال ال</w:t>
            </w:r>
            <w:r w:rsidR="00C66178">
              <w:rPr>
                <w:rFonts w:hint="cs"/>
                <w:rtl/>
              </w:rPr>
              <w:t>‍</w:t>
            </w:r>
            <w:r w:rsidRPr="00DE3B76">
              <w:rPr>
                <w:rFonts w:hint="cs"/>
                <w:rtl/>
              </w:rPr>
              <w:t>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31BB3">
            <w:pPr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DE3B76">
            <w:pPr>
              <w:pStyle w:val="Agendaitem"/>
            </w:pPr>
            <w:r w:rsidRPr="008204AC">
              <w:rPr>
                <w:rtl/>
              </w:rPr>
              <w:t xml:space="preserve">البنـد </w:t>
            </w:r>
            <w:r w:rsidR="00D31BB3">
              <w:rPr>
                <w:lang w:val="en-US"/>
              </w:rPr>
              <w:t>(I)7</w:t>
            </w:r>
            <w:r w:rsidR="00D31BB3">
              <w:rPr>
                <w:rFonts w:hint="cs"/>
                <w:rtl/>
                <w:lang w:val="en-US"/>
              </w:rPr>
              <w:t xml:space="preserve"> </w:t>
            </w:r>
            <w:r w:rsidRPr="008204AC">
              <w:rPr>
                <w:rtl/>
              </w:rPr>
              <w:t>من جدول الأعمال</w:t>
            </w:r>
          </w:p>
        </w:tc>
      </w:tr>
    </w:tbl>
    <w:p w:rsidR="001D597A" w:rsidRPr="00431196" w:rsidRDefault="00E92797" w:rsidP="00587D86">
      <w:pPr>
        <w:pStyle w:val="Normalaftertitle"/>
        <w:rPr>
          <w:rFonts w:eastAsia="SimSun"/>
          <w:spacing w:val="-2"/>
          <w:rtl/>
        </w:rPr>
      </w:pP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ab/>
      </w:r>
      <w:bookmarkStart w:id="1" w:name="_GoBack"/>
      <w:bookmarkEnd w:id="1"/>
      <w:r w:rsidRPr="00587D86">
        <w:rPr>
          <w:rFonts w:eastAsia="SimSun" w:hint="cs"/>
          <w:rtl/>
        </w:rPr>
        <w:t xml:space="preserve">النظر في أي تغييرات قد يلزم إجراؤها، وفي خيارات أخرى، تطبيقاً للقرار </w:t>
      </w:r>
      <w:r w:rsidRPr="00587D86">
        <w:rPr>
          <w:rFonts w:eastAsia="SimSun"/>
        </w:rPr>
        <w:t>86</w:t>
      </w:r>
      <w:r w:rsidRPr="00587D86">
        <w:rPr>
          <w:rFonts w:eastAsia="SimSun" w:hint="cs"/>
          <w:rtl/>
        </w:rPr>
        <w:t xml:space="preserve"> (المراج</w:t>
      </w:r>
      <w:r w:rsidR="00F5659A" w:rsidRPr="00587D86">
        <w:rPr>
          <w:rFonts w:eastAsia="SimSun" w:hint="cs"/>
          <w:rtl/>
        </w:rPr>
        <w:t>َ</w:t>
      </w:r>
      <w:r w:rsidRPr="00587D86">
        <w:rPr>
          <w:rFonts w:eastAsia="SimSun" w:hint="cs"/>
          <w:rtl/>
        </w:rPr>
        <w:t xml:space="preserve">ع في مراكش، </w:t>
      </w:r>
      <w:r w:rsidRPr="00587D86">
        <w:rPr>
          <w:rFonts w:eastAsia="SimSun"/>
        </w:rPr>
        <w:t>(2002</w:t>
      </w:r>
      <w:r w:rsidRPr="00587D86">
        <w:rPr>
          <w:rFonts w:eastAsia="SimSun" w:hint="cs"/>
          <w:rtl/>
        </w:rPr>
        <w:t xml:space="preserve"> لمؤتمر</w:t>
      </w:r>
      <w:r w:rsidR="00C66178" w:rsidRPr="00587D86">
        <w:rPr>
          <w:rFonts w:eastAsia="SimSun" w:hint="eastAsia"/>
          <w:rtl/>
        </w:rPr>
        <w:t> </w:t>
      </w:r>
      <w:r w:rsidRPr="00587D86">
        <w:rPr>
          <w:rFonts w:eastAsia="SimSun" w:hint="cs"/>
          <w:rtl/>
        </w:rPr>
        <w:t>المندوبين المفوضين، بشأن "إجراءات النشر المسبق والتنسيق والتبليغ والتسجيل لتخصيصات التردد للشبكات الساتلية"، وفقاً للقرار</w:t>
      </w:r>
      <w:r w:rsidR="00D15109" w:rsidRPr="00587D86">
        <w:rPr>
          <w:rFonts w:eastAsia="SimSun" w:hint="eastAsia"/>
          <w:rtl/>
        </w:rPr>
        <w:t> </w:t>
      </w:r>
      <w:r w:rsidRPr="00587D86">
        <w:rPr>
          <w:rFonts w:eastAsia="SimSun"/>
          <w:b/>
          <w:bCs/>
        </w:rPr>
        <w:t>86 (Rev.WRC</w:t>
      </w:r>
      <w:r w:rsidRPr="00587D86">
        <w:rPr>
          <w:rFonts w:eastAsia="SimSun"/>
          <w:b/>
          <w:bCs/>
        </w:rPr>
        <w:noBreakHyphen/>
        <w:t>07)</w:t>
      </w:r>
      <w:r w:rsidRPr="00587D86">
        <w:rPr>
          <w:rFonts w:eastAsia="SimSun" w:hint="cs"/>
          <w:rtl/>
        </w:rPr>
        <w:t xml:space="preserve"> تيسيراً للاستخدام الرشيد والفع</w:t>
      </w:r>
      <w:r w:rsidR="00C66178" w:rsidRPr="00587D86">
        <w:rPr>
          <w:rFonts w:eastAsia="SimSun" w:hint="cs"/>
          <w:rtl/>
        </w:rPr>
        <w:t>ّ</w:t>
      </w:r>
      <w:r w:rsidRPr="00587D86">
        <w:rPr>
          <w:rFonts w:eastAsia="SimSun" w:hint="cs"/>
          <w:rtl/>
        </w:rPr>
        <w:t>ال والاقتصادي للترددات الراديوية وأي مدارات مرتبطة بها، بما</w:t>
      </w:r>
      <w:r w:rsidR="00C66178" w:rsidRPr="00587D86">
        <w:rPr>
          <w:rFonts w:eastAsia="SimSun" w:hint="eastAsia"/>
          <w:rtl/>
        </w:rPr>
        <w:t> </w:t>
      </w:r>
      <w:r w:rsidRPr="00587D86">
        <w:rPr>
          <w:rFonts w:eastAsia="SimSun" w:hint="cs"/>
          <w:rtl/>
        </w:rPr>
        <w:t>فيها مدار السواتل المستقرة بالنسبة إلى الأرض؛</w:t>
      </w:r>
    </w:p>
    <w:p w:rsidR="001D597A" w:rsidRPr="00431196" w:rsidRDefault="00E92797" w:rsidP="00C2775E">
      <w:pPr>
        <w:rPr>
          <w:rFonts w:eastAsia="SimSun"/>
        </w:rPr>
      </w:pPr>
      <w:r w:rsidRPr="00431196">
        <w:rPr>
          <w:rFonts w:eastAsia="SimSun"/>
        </w:rPr>
        <w:t>(I)7</w:t>
      </w:r>
      <w:r w:rsidRPr="00431196">
        <w:rPr>
          <w:rFonts w:eastAsia="SimSun"/>
        </w:rPr>
        <w:tab/>
      </w:r>
      <w:r w:rsidRPr="00431196">
        <w:rPr>
          <w:rFonts w:eastAsia="SimSun" w:hint="cs"/>
          <w:rtl/>
        </w:rPr>
        <w:t xml:space="preserve">المسألة </w:t>
      </w:r>
      <w:r w:rsidRPr="00431196">
        <w:rPr>
          <w:rFonts w:eastAsia="SimSun"/>
        </w:rPr>
        <w:t>I</w:t>
      </w:r>
      <w:r w:rsidRPr="00431196">
        <w:rPr>
          <w:rFonts w:eastAsia="SimSun" w:hint="cs"/>
          <w:rtl/>
        </w:rPr>
        <w:t xml:space="preserve"> - أسلوب ممكن للتخفيف من وطأة مسألة العدد المفرط لبطاقات التبليغ عن الشبكات الساتلية</w:t>
      </w:r>
    </w:p>
    <w:p w:rsidR="00F16602" w:rsidRDefault="00E12D72" w:rsidP="00E12D72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E12D72" w:rsidRDefault="0080610C" w:rsidP="00C50838">
      <w:pPr>
        <w:rPr>
          <w:spacing w:val="-4"/>
          <w:rtl/>
          <w:lang w:bidi="ar-EG"/>
        </w:rPr>
      </w:pPr>
      <w:r w:rsidRPr="001B50A7">
        <w:rPr>
          <w:rFonts w:hint="cs"/>
          <w:rtl/>
          <w:lang w:bidi="ar-EG"/>
        </w:rPr>
        <w:t xml:space="preserve">يؤيد أعضاء جماعة آسيا والمحيط الهادئ للاتصالات الأسلوب </w:t>
      </w:r>
      <w:r w:rsidRPr="001B50A7">
        <w:rPr>
          <w:spacing w:val="-4"/>
          <w:lang w:bidi="ar"/>
        </w:rPr>
        <w:t>4.</w:t>
      </w:r>
      <w:r w:rsidRPr="001B50A7">
        <w:rPr>
          <w:spacing w:val="-4"/>
          <w:lang w:val="fr-FR" w:bidi="ar-SY"/>
        </w:rPr>
        <w:t>I1</w:t>
      </w:r>
      <w:r w:rsidRPr="001B50A7">
        <w:rPr>
          <w:rFonts w:hint="cs"/>
          <w:spacing w:val="-4"/>
          <w:rtl/>
          <w:lang w:val="fr-FR" w:bidi="ar-SY"/>
        </w:rPr>
        <w:t xml:space="preserve"> الموصوف في القسم </w:t>
      </w:r>
      <w:r w:rsidRPr="001B50A7">
        <w:rPr>
          <w:spacing w:val="-4"/>
          <w:lang w:bidi="ar-SY"/>
        </w:rPr>
        <w:t>4.1.6.9/7/5</w:t>
      </w:r>
      <w:r w:rsidR="008A7DA1" w:rsidRPr="001B50A7">
        <w:rPr>
          <w:rFonts w:hint="cs"/>
          <w:spacing w:val="-4"/>
          <w:rtl/>
          <w:lang w:bidi="ar-EG"/>
        </w:rPr>
        <w:t xml:space="preserve"> من الفصل</w:t>
      </w:r>
      <w:r w:rsidR="00C50838">
        <w:rPr>
          <w:rFonts w:hint="eastAsia"/>
          <w:spacing w:val="-4"/>
          <w:rtl/>
          <w:lang w:bidi="ar-EG"/>
        </w:rPr>
        <w:t> </w:t>
      </w:r>
      <w:r w:rsidR="00C50838">
        <w:rPr>
          <w:spacing w:val="-4"/>
          <w:lang w:bidi="ar-EG"/>
        </w:rPr>
        <w:t>5</w:t>
      </w:r>
      <w:r w:rsidR="008A7DA1" w:rsidRPr="001B50A7">
        <w:rPr>
          <w:rFonts w:hint="cs"/>
          <w:spacing w:val="-4"/>
          <w:rtl/>
          <w:lang w:bidi="ar-EG"/>
        </w:rPr>
        <w:t xml:space="preserve"> من تقرير الاجتماع التحضيري للمؤتمر.</w:t>
      </w:r>
    </w:p>
    <w:p w:rsidR="008A7DA1" w:rsidRPr="0080610C" w:rsidRDefault="008A7DA1" w:rsidP="0080610C">
      <w:pPr>
        <w:rPr>
          <w:rtl/>
          <w:lang w:bidi="ar-EG"/>
        </w:rPr>
      </w:pPr>
      <w:r>
        <w:rPr>
          <w:rFonts w:hint="cs"/>
          <w:spacing w:val="-4"/>
          <w:rtl/>
          <w:lang w:bidi="ar-EG"/>
        </w:rPr>
        <w:t>و</w:t>
      </w:r>
      <w:r>
        <w:rPr>
          <w:rFonts w:hint="cs"/>
          <w:rtl/>
          <w:lang w:bidi="ar-EG"/>
        </w:rPr>
        <w:t>يؤيد أعضاء جماعة آسيا والمحيط الهادئ للاتصالات عموماً الجهود الرامية إلى التخفيف من وطأة العدد المفرط لبطاقات التبليغ. ولكن لديهم أيضاً شواغل كثيرة منها:</w:t>
      </w:r>
    </w:p>
    <w:p w:rsidR="00E12D72" w:rsidRDefault="00E12D72" w:rsidP="00303332">
      <w:pPr>
        <w:pStyle w:val="enumlev1"/>
        <w:rPr>
          <w:rtl/>
        </w:rPr>
      </w:pPr>
      <w:r w:rsidRPr="001B50A7">
        <w:t>1</w:t>
      </w:r>
      <w:r w:rsidR="008A7DA1" w:rsidRPr="001B50A7">
        <w:rPr>
          <w:rtl/>
        </w:rPr>
        <w:tab/>
      </w:r>
      <w:r w:rsidRPr="001B50A7">
        <w:rPr>
          <w:rFonts w:hint="cs"/>
          <w:rtl/>
          <w:lang w:bidi="ar-EG"/>
        </w:rPr>
        <w:t>أن إ</w:t>
      </w:r>
      <w:r w:rsidRPr="001B50A7">
        <w:rPr>
          <w:rtl/>
          <w:lang w:bidi="ar-EG"/>
        </w:rPr>
        <w:t xml:space="preserve">ضافة خطوة </w:t>
      </w:r>
      <w:r w:rsidRPr="001B50A7">
        <w:rPr>
          <w:rFonts w:hint="cs"/>
          <w:rtl/>
          <w:lang w:bidi="ar-EG"/>
        </w:rPr>
        <w:t>ال</w:t>
      </w:r>
      <w:r w:rsidRPr="001B50A7">
        <w:rPr>
          <w:rtl/>
          <w:lang w:bidi="ar-EG"/>
        </w:rPr>
        <w:t>تبليغ</w:t>
      </w:r>
      <w:r w:rsidRPr="001B50A7">
        <w:rPr>
          <w:rFonts w:hint="cs"/>
          <w:rtl/>
          <w:lang w:bidi="ar-EG"/>
        </w:rPr>
        <w:t xml:space="preserve"> ال</w:t>
      </w:r>
      <w:r w:rsidRPr="001B50A7">
        <w:rPr>
          <w:rtl/>
          <w:lang w:bidi="ar-EG"/>
        </w:rPr>
        <w:t>أولي الجديدة</w:t>
      </w:r>
      <w:r w:rsidRPr="001B50A7">
        <w:rPr>
          <w:rFonts w:hint="cs"/>
          <w:rtl/>
          <w:lang w:bidi="ar-EG"/>
        </w:rPr>
        <w:t xml:space="preserve"> المقترحة بموجب هذه الأساليب </w:t>
      </w:r>
      <w:r w:rsidRPr="001B50A7">
        <w:rPr>
          <w:rtl/>
          <w:lang w:bidi="ar-EG"/>
        </w:rPr>
        <w:t>لن تؤدي إلى تقليل أعداد بطاقات التبليغ في المستقبل إذ لا يبدو أن هناك أي متطلب أو حافز جديد في الأساليب</w:t>
      </w:r>
      <w:r w:rsidR="001B50A7" w:rsidRPr="001B50A7">
        <w:rPr>
          <w:rFonts w:hint="cs"/>
          <w:rtl/>
          <w:lang w:bidi="ar-EG"/>
        </w:rPr>
        <w:t xml:space="preserve"> من </w:t>
      </w:r>
      <w:r w:rsidR="001B50A7" w:rsidRPr="001B50A7">
        <w:rPr>
          <w:lang w:bidi="ar-EG"/>
        </w:rPr>
        <w:t>1.I1</w:t>
      </w:r>
      <w:r w:rsidR="001B50A7" w:rsidRPr="001B50A7">
        <w:rPr>
          <w:rFonts w:hint="cs"/>
          <w:rtl/>
          <w:lang w:bidi="ar-EG"/>
        </w:rPr>
        <w:t xml:space="preserve"> إلى </w:t>
      </w:r>
      <w:r w:rsidR="001B50A7" w:rsidRPr="001B50A7">
        <w:rPr>
          <w:lang w:bidi="ar-EG"/>
        </w:rPr>
        <w:t>3.I1</w:t>
      </w:r>
      <w:r w:rsidRPr="001B50A7">
        <w:rPr>
          <w:rtl/>
          <w:lang w:bidi="ar-EG"/>
        </w:rPr>
        <w:t xml:space="preserve"> من شأنه أن يحدو بإدارة ما إلى إلغاء بطاقات التبليغ عن شبكات ساتلية في طور التنسيق ودُفعت من أجلها رسوم استرداد التكاليف.</w:t>
      </w:r>
      <w:r w:rsidRPr="001B50A7">
        <w:rPr>
          <w:rFonts w:hint="cs"/>
          <w:rtl/>
          <w:lang w:bidi="ar-EG"/>
        </w:rPr>
        <w:t xml:space="preserve"> ويم</w:t>
      </w:r>
      <w:r w:rsidRPr="001B50A7">
        <w:rPr>
          <w:rtl/>
          <w:lang w:bidi="ar-EG"/>
        </w:rPr>
        <w:t>كن لإدارة بسهولة أن تملأ المعلومات المطلوبة في بطاقات التبليغ الأولي الجديدة، ولكن إضافة هذه الخطوة الجديدة ستزيد من الجهود الإدارية لكل من الإد</w:t>
      </w:r>
      <w:r w:rsidR="00C66178">
        <w:rPr>
          <w:rtl/>
          <w:lang w:bidi="ar-EG"/>
        </w:rPr>
        <w:t>ارات ومكتب الاتصالات الراديوية.</w:t>
      </w:r>
    </w:p>
    <w:p w:rsidR="00E12D72" w:rsidRDefault="00E12D72" w:rsidP="00303332">
      <w:pPr>
        <w:pStyle w:val="enumlev1"/>
        <w:rPr>
          <w:rtl/>
        </w:rPr>
      </w:pPr>
      <w:r>
        <w:t>2</w:t>
      </w:r>
      <w:r>
        <w:rPr>
          <w:rFonts w:hint="cs"/>
          <w:rtl/>
        </w:rPr>
        <w:tab/>
      </w:r>
      <w:r w:rsidR="001B50A7">
        <w:rPr>
          <w:rFonts w:hint="cs"/>
          <w:rtl/>
        </w:rPr>
        <w:t>يلزم إجراء المزيد من الدراسات بشأن الأساليب المذكورة أعلاه.</w:t>
      </w:r>
    </w:p>
    <w:p w:rsidR="00E12D72" w:rsidRDefault="001B50A7" w:rsidP="00C66178">
      <w:pPr>
        <w:pStyle w:val="Headingb"/>
        <w:keepNext w:val="0"/>
      </w:pPr>
      <w:r>
        <w:rPr>
          <w:rFonts w:hint="cs"/>
          <w:rtl/>
          <w:lang w:bidi="ar-SA"/>
        </w:rPr>
        <w:t>ال</w:t>
      </w:r>
      <w:r w:rsidR="00C66178">
        <w:rPr>
          <w:rFonts w:hint="cs"/>
          <w:rtl/>
        </w:rPr>
        <w:t>مقترح</w:t>
      </w:r>
    </w:p>
    <w:p w:rsidR="00B92FD5" w:rsidRDefault="00E92797">
      <w:pPr>
        <w:pStyle w:val="Proposal"/>
      </w:pPr>
      <w:r>
        <w:rPr>
          <w:u w:val="single"/>
        </w:rPr>
        <w:lastRenderedPageBreak/>
        <w:t>NOC</w:t>
      </w:r>
      <w:r>
        <w:tab/>
        <w:t>ASP/32A21A9/1</w:t>
      </w:r>
    </w:p>
    <w:p w:rsidR="009F37C9" w:rsidRPr="00A96AF5" w:rsidRDefault="00E92797" w:rsidP="00A70AEB">
      <w:pPr>
        <w:pStyle w:val="ChapNo0"/>
        <w:keepNext w:val="0"/>
        <w:keepLines w:val="0"/>
        <w:pageBreakBefore w:val="0"/>
        <w:rPr>
          <w:b/>
          <w:bCs/>
          <w:rtl/>
        </w:rPr>
      </w:pPr>
      <w:bookmarkStart w:id="2" w:name="_Toc331055736"/>
      <w:r w:rsidRPr="00A96AF5">
        <w:rPr>
          <w:b/>
          <w:bCs/>
          <w:rtl/>
        </w:rPr>
        <w:t>الفص</w:t>
      </w:r>
      <w:r w:rsidRPr="00A96AF5">
        <w:rPr>
          <w:rFonts w:hint="cs"/>
          <w:b/>
          <w:bCs/>
          <w:rtl/>
        </w:rPr>
        <w:t>ـ</w:t>
      </w:r>
      <w:r w:rsidRPr="00A96AF5">
        <w:rPr>
          <w:b/>
          <w:bCs/>
          <w:rtl/>
        </w:rPr>
        <w:t xml:space="preserve">ل </w:t>
      </w:r>
      <w:r w:rsidRPr="00A96AF5">
        <w:rPr>
          <w:b/>
          <w:bCs/>
        </w:rPr>
        <w:t>III</w:t>
      </w:r>
      <w:bookmarkEnd w:id="2"/>
    </w:p>
    <w:p w:rsidR="009F37C9" w:rsidRPr="00296F8A" w:rsidRDefault="00E92797" w:rsidP="00A96AF5">
      <w:pPr>
        <w:pStyle w:val="Chaptertitle"/>
        <w:spacing w:after="240"/>
        <w:rPr>
          <w:rtl/>
        </w:rPr>
      </w:pPr>
      <w:bookmarkStart w:id="3" w:name="_Toc331055737"/>
      <w:r w:rsidRPr="00296F8A">
        <w:rPr>
          <w:rtl/>
        </w:rPr>
        <w:t xml:space="preserve">تنسيق تخصيصات التردد والتبليغ عنها وتسجيلها، </w:t>
      </w:r>
      <w:r w:rsidRPr="00296F8A">
        <w:rPr>
          <w:rtl/>
        </w:rPr>
        <w:br/>
        <w:t>والتعديلات المدخلة</w:t>
      </w:r>
      <w:r>
        <w:rPr>
          <w:rtl/>
        </w:rPr>
        <w:t xml:space="preserve"> في </w:t>
      </w:r>
      <w:r w:rsidRPr="00296F8A">
        <w:rPr>
          <w:rtl/>
        </w:rPr>
        <w:t>الخطط</w:t>
      </w:r>
      <w:bookmarkEnd w:id="3"/>
    </w:p>
    <w:p w:rsidR="00B92FD5" w:rsidRDefault="00E92797" w:rsidP="001B50A7">
      <w:pPr>
        <w:pStyle w:val="Reasons"/>
        <w:rPr>
          <w:rtl/>
          <w:lang w:bidi="ar-EG"/>
        </w:rPr>
      </w:pPr>
      <w:r>
        <w:rPr>
          <w:rtl/>
        </w:rPr>
        <w:t>الأسباب:</w:t>
      </w:r>
      <w:r>
        <w:tab/>
      </w:r>
      <w:r w:rsidR="001B50A7">
        <w:rPr>
          <w:rFonts w:hint="cs"/>
          <w:b w:val="0"/>
          <w:bCs w:val="0"/>
          <w:rtl/>
        </w:rPr>
        <w:t xml:space="preserve">تؤيد جماعة آسيا والمحيط الهادئ للاتصالات الأسلوب </w:t>
      </w:r>
      <w:r w:rsidR="001B50A7">
        <w:rPr>
          <w:b w:val="0"/>
          <w:bCs w:val="0"/>
        </w:rPr>
        <w:t>I4</w:t>
      </w:r>
      <w:r w:rsidR="001B50A7">
        <w:rPr>
          <w:rFonts w:hint="cs"/>
          <w:b w:val="0"/>
          <w:bCs w:val="0"/>
          <w:rtl/>
          <w:lang w:bidi="ar-EG"/>
        </w:rPr>
        <w:t>.</w:t>
      </w:r>
    </w:p>
    <w:p w:rsidR="00C57D68" w:rsidRPr="00C57D68" w:rsidRDefault="00C57D68" w:rsidP="00C57D68">
      <w:pPr>
        <w:pStyle w:val="Reasons"/>
        <w:rPr>
          <w:rtl/>
          <w:lang w:bidi="ar-EG"/>
        </w:rPr>
      </w:pPr>
    </w:p>
    <w:p w:rsidR="00E92797" w:rsidRPr="00E92797" w:rsidRDefault="00EA3BC0" w:rsidP="00E92797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E92797" w:rsidRPr="00E92797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E92797" w:rsidRDefault="00281F5F" w:rsidP="00E92797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E92797">
      <w:instrText xml:space="preserve"> FILENAME \p \* MERGEFORMAT </w:instrText>
    </w:r>
    <w:r w:rsidRPr="00CB4300">
      <w:fldChar w:fldCharType="separate"/>
    </w:r>
    <w:r w:rsidR="00A5415E">
      <w:rPr>
        <w:noProof/>
      </w:rPr>
      <w:t>P:\ARA\ITU-R\CONF-R\CMR15\000\032ADD21ADD09A.docx</w:t>
    </w:r>
    <w:r w:rsidRPr="00CB4300">
      <w:fldChar w:fldCharType="end"/>
    </w:r>
    <w:r w:rsidRPr="00E92797">
      <w:t xml:space="preserve">  (</w:t>
    </w:r>
    <w:r w:rsidR="00E92797">
      <w:rPr>
        <w:rFonts w:hint="cs"/>
        <w:rtl/>
        <w:lang w:val="es-ES"/>
      </w:rPr>
      <w:t>387338</w:t>
    </w:r>
    <w:r w:rsidRPr="00E92797">
      <w:t>)</w:t>
    </w:r>
    <w:r w:rsidRPr="00E92797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C449D2">
      <w:rPr>
        <w:noProof/>
      </w:rPr>
      <w:t>20.10.15</w:t>
    </w:r>
    <w:r w:rsidRPr="00CB4300">
      <w:fldChar w:fldCharType="end"/>
    </w:r>
    <w:r w:rsidRPr="00E92797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A5415E">
      <w:rPr>
        <w:noProof/>
      </w:rPr>
      <w:t>20.10.15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E92797" w:rsidRDefault="00281F5F" w:rsidP="00E92797">
    <w:pPr>
      <w:pStyle w:val="Footer"/>
    </w:pPr>
    <w:r>
      <w:fldChar w:fldCharType="begin"/>
    </w:r>
    <w:r w:rsidRPr="00E92797">
      <w:instrText xml:space="preserve"> FILENAME \p \* MERGEFORMAT </w:instrText>
    </w:r>
    <w:r>
      <w:fldChar w:fldCharType="separate"/>
    </w:r>
    <w:r w:rsidR="00A5415E">
      <w:rPr>
        <w:noProof/>
      </w:rPr>
      <w:t>P:\ARA\ITU-R\CONF-R\CMR15\000\032ADD21ADD09A.docx</w:t>
    </w:r>
    <w:r>
      <w:fldChar w:fldCharType="end"/>
    </w:r>
    <w:r w:rsidRPr="00E92797">
      <w:t xml:space="preserve">   (</w:t>
    </w:r>
    <w:r w:rsidR="00E92797">
      <w:rPr>
        <w:rFonts w:hint="cs"/>
        <w:rtl/>
      </w:rPr>
      <w:t>387338</w:t>
    </w:r>
    <w:r w:rsidRPr="00E92797">
      <w:t>)</w:t>
    </w:r>
    <w:r w:rsidRPr="00E92797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C449D2">
      <w:rPr>
        <w:noProof/>
      </w:rPr>
      <w:t>20.10.15</w:t>
    </w:r>
    <w:r w:rsidRPr="00B12661">
      <w:fldChar w:fldCharType="end"/>
    </w:r>
    <w:r w:rsidRPr="00E92797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A5415E">
      <w:rPr>
        <w:noProof/>
      </w:rPr>
      <w:t>20.10.15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587D86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32(Add.21)(Add.9)-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ar-EG" w:vendorID="64" w:dllVersion="131078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B50A7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B192E"/>
    <w:rsid w:val="002D13DD"/>
    <w:rsid w:val="002D5F64"/>
    <w:rsid w:val="002D6FBF"/>
    <w:rsid w:val="002E48BF"/>
    <w:rsid w:val="002E61C2"/>
    <w:rsid w:val="00303332"/>
    <w:rsid w:val="0033737F"/>
    <w:rsid w:val="00353652"/>
    <w:rsid w:val="003569E1"/>
    <w:rsid w:val="003815E2"/>
    <w:rsid w:val="00381897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87D86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66F7E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0610C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A7DA1"/>
    <w:rsid w:val="008B4E93"/>
    <w:rsid w:val="008D4F14"/>
    <w:rsid w:val="008D6ACC"/>
    <w:rsid w:val="008D7AF0"/>
    <w:rsid w:val="008E32DD"/>
    <w:rsid w:val="008F4626"/>
    <w:rsid w:val="009004DF"/>
    <w:rsid w:val="00904AA5"/>
    <w:rsid w:val="0090513F"/>
    <w:rsid w:val="00905D21"/>
    <w:rsid w:val="00951718"/>
    <w:rsid w:val="00954CCB"/>
    <w:rsid w:val="00960962"/>
    <w:rsid w:val="00972CE0"/>
    <w:rsid w:val="009A3D30"/>
    <w:rsid w:val="009B0BD8"/>
    <w:rsid w:val="009C2303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5415E"/>
    <w:rsid w:val="00A66D2B"/>
    <w:rsid w:val="00A70AEB"/>
    <w:rsid w:val="00A83981"/>
    <w:rsid w:val="00A870AD"/>
    <w:rsid w:val="00A90843"/>
    <w:rsid w:val="00A9645C"/>
    <w:rsid w:val="00A96AF5"/>
    <w:rsid w:val="00AA1E21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2FD5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449D2"/>
    <w:rsid w:val="00C50838"/>
    <w:rsid w:val="00C53F6F"/>
    <w:rsid w:val="00C5489D"/>
    <w:rsid w:val="00C57D68"/>
    <w:rsid w:val="00C66178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15109"/>
    <w:rsid w:val="00D25120"/>
    <w:rsid w:val="00D31BB3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E3B76"/>
    <w:rsid w:val="00DF2A6A"/>
    <w:rsid w:val="00DF3B72"/>
    <w:rsid w:val="00E10821"/>
    <w:rsid w:val="00E12D72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92797"/>
    <w:rsid w:val="00EA1B76"/>
    <w:rsid w:val="00EA3BC0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5659A"/>
    <w:rsid w:val="00F8654D"/>
    <w:rsid w:val="00F900C9"/>
    <w:rsid w:val="00F92C96"/>
    <w:rsid w:val="00FA0D4E"/>
    <w:rsid w:val="00FB0753"/>
    <w:rsid w:val="00FB5CC8"/>
    <w:rsid w:val="00FC2CD0"/>
    <w:rsid w:val="00FC6491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A1887B36-1A04-4DA4-96A6-88069F08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ChapNo0">
    <w:name w:val="Chap_No"/>
    <w:basedOn w:val="Normal"/>
    <w:next w:val="Normal"/>
    <w:qFormat/>
    <w:rsid w:val="009F5F04"/>
    <w:pPr>
      <w:keepNext/>
      <w:keepLines/>
      <w:pageBreakBefore/>
      <w:tabs>
        <w:tab w:val="left" w:pos="794"/>
        <w:tab w:val="left" w:pos="1191"/>
        <w:tab w:val="left" w:pos="1588"/>
      </w:tabs>
      <w:spacing w:before="360" w:after="120"/>
      <w:jc w:val="center"/>
    </w:pPr>
    <w:rPr>
      <w:sz w:val="26"/>
      <w:szCs w:val="36"/>
    </w:rPr>
  </w:style>
  <w:style w:type="paragraph" w:customStyle="1" w:styleId="Chaptertitle">
    <w:name w:val="Chapter title"/>
    <w:basedOn w:val="Normal"/>
    <w:qFormat/>
    <w:rsid w:val="00A96AF5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600"/>
      <w:jc w:val="center"/>
    </w:pPr>
    <w:rPr>
      <w:rFonts w:eastAsiaTheme="minorEastAsia"/>
      <w:b/>
      <w:bCs/>
      <w:sz w:val="32"/>
      <w:szCs w:val="44"/>
      <w:lang w:eastAsia="zh-CN"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R15-WRC15-C-0032!A21-A9!MSW-A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07F24-E320-4D33-8A58-47E308A151F5}">
  <ds:schemaRefs>
    <ds:schemaRef ds:uri="http://purl.org/dc/terms/"/>
    <ds:schemaRef ds:uri="http://purl.org/dc/dcmitype/"/>
    <ds:schemaRef ds:uri="http://schemas.openxmlformats.org/package/2006/metadata/core-properties"/>
    <ds:schemaRef ds:uri="996b2e75-67fd-4955-a3b0-5ab9934cb50b"/>
    <ds:schemaRef ds:uri="http://schemas.microsoft.com/office/2006/documentManagement/types"/>
    <ds:schemaRef ds:uri="http://purl.org/dc/elements/1.1/"/>
    <ds:schemaRef ds:uri="32a1a8c5-2265-4ebc-b7a0-2071e2c5c9bb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932424-2CC1-4D77-B621-4288A761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279</Words>
  <Characters>1559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R15-WRC15-C-0032!A21-A9!MSW-A</vt:lpstr>
    </vt:vector>
  </TitlesOfParts>
  <Manager>General Secretariat - Pool</Manager>
  <Company>International Telecommunication Union (ITU)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R15-WRC15-C-0032!A21-A9!MSW-A</dc:title>
  <dc:creator>Documents Proposals Manager (DPM)</dc:creator>
  <cp:keywords>DPM_v5.2015.9.16_prod</cp:keywords>
  <cp:lastModifiedBy>Awad, Samy</cp:lastModifiedBy>
  <cp:revision>21</cp:revision>
  <cp:lastPrinted>2015-10-20T11:16:00Z</cp:lastPrinted>
  <dcterms:created xsi:type="dcterms:W3CDTF">2015-10-19T14:15:00Z</dcterms:created>
  <dcterms:modified xsi:type="dcterms:W3CDTF">2015-10-20T16:34:00Z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