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2F6" w:rsidRDefault="00E302F6"/>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323B5F" w:rsidRPr="006E211A" w:rsidTr="00E302F6">
        <w:trPr>
          <w:cantSplit/>
        </w:trPr>
        <w:tc>
          <w:tcPr>
            <w:tcW w:w="6911" w:type="dxa"/>
          </w:tcPr>
          <w:p w:rsidR="00323B5F" w:rsidRPr="006E211A" w:rsidRDefault="00323B5F" w:rsidP="00323B5F">
            <w:pPr>
              <w:spacing w:before="400" w:after="48" w:line="240" w:lineRule="atLeast"/>
              <w:rPr>
                <w:rFonts w:ascii="Verdana" w:hAnsi="Verdana"/>
                <w:position w:val="6"/>
              </w:rPr>
            </w:pPr>
            <w:r w:rsidRPr="006E211A">
              <w:rPr>
                <w:rFonts w:ascii="Verdana" w:hAnsi="Verdana" w:cs="Times"/>
                <w:b/>
                <w:position w:val="6"/>
                <w:sz w:val="22"/>
                <w:szCs w:val="22"/>
              </w:rPr>
              <w:t>World Radiocommunication Conference (WRC-15)</w:t>
            </w:r>
            <w:r w:rsidRPr="006E211A">
              <w:rPr>
                <w:rFonts w:ascii="Verdana" w:hAnsi="Verdana" w:cs="Times"/>
                <w:b/>
                <w:position w:val="6"/>
                <w:sz w:val="26"/>
                <w:szCs w:val="26"/>
              </w:rPr>
              <w:br/>
            </w:r>
            <w:r w:rsidRPr="006E211A">
              <w:rPr>
                <w:rFonts w:ascii="Verdana" w:hAnsi="Verdana"/>
                <w:b/>
                <w:bCs/>
                <w:position w:val="6"/>
                <w:sz w:val="18"/>
                <w:szCs w:val="18"/>
              </w:rPr>
              <w:t>Geneva, 2–27 November 2015</w:t>
            </w:r>
          </w:p>
        </w:tc>
        <w:tc>
          <w:tcPr>
            <w:tcW w:w="3120" w:type="dxa"/>
          </w:tcPr>
          <w:p w:rsidR="00323B5F" w:rsidRPr="006E211A" w:rsidRDefault="00323B5F" w:rsidP="00323B5F">
            <w:pPr>
              <w:spacing w:before="0" w:line="240" w:lineRule="atLeast"/>
              <w:jc w:val="right"/>
            </w:pPr>
            <w:bookmarkStart w:id="0" w:name="ditulogo"/>
            <w:bookmarkEnd w:id="0"/>
            <w:r w:rsidRPr="006E211A">
              <w:rPr>
                <w:noProof/>
                <w:lang w:val="en-US" w:eastAsia="zh-CN"/>
              </w:rPr>
              <w:drawing>
                <wp:inline distT="0" distB="0" distL="0" distR="0" wp14:anchorId="0CA285A5" wp14:editId="51EDBBB8">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323B5F" w:rsidRPr="006E211A" w:rsidTr="00E302F6">
        <w:trPr>
          <w:cantSplit/>
        </w:trPr>
        <w:tc>
          <w:tcPr>
            <w:tcW w:w="6911" w:type="dxa"/>
            <w:tcBorders>
              <w:bottom w:val="single" w:sz="12" w:space="0" w:color="auto"/>
            </w:tcBorders>
          </w:tcPr>
          <w:p w:rsidR="00323B5F" w:rsidRPr="006E211A" w:rsidRDefault="00323B5F" w:rsidP="00323B5F">
            <w:pPr>
              <w:spacing w:before="0" w:after="48" w:line="240" w:lineRule="atLeast"/>
              <w:rPr>
                <w:rFonts w:ascii="Verdana" w:hAnsi="Verdana"/>
                <w:b/>
                <w:smallCaps/>
                <w:sz w:val="20"/>
              </w:rPr>
            </w:pPr>
            <w:bookmarkStart w:id="1" w:name="dhead"/>
            <w:r w:rsidRPr="006E211A">
              <w:rPr>
                <w:rFonts w:ascii="Verdana" w:hAnsi="Verdana"/>
                <w:b/>
                <w:smallCaps/>
                <w:sz w:val="20"/>
              </w:rPr>
              <w:t>INTERNATIONAL TELECOMMUNICATION UNION</w:t>
            </w:r>
          </w:p>
        </w:tc>
        <w:tc>
          <w:tcPr>
            <w:tcW w:w="3120" w:type="dxa"/>
            <w:tcBorders>
              <w:bottom w:val="single" w:sz="12" w:space="0" w:color="auto"/>
            </w:tcBorders>
          </w:tcPr>
          <w:p w:rsidR="00323B5F" w:rsidRPr="006E211A" w:rsidRDefault="00323B5F" w:rsidP="00323B5F">
            <w:pPr>
              <w:spacing w:before="0" w:line="240" w:lineRule="atLeast"/>
              <w:rPr>
                <w:rFonts w:ascii="Verdana" w:hAnsi="Verdana"/>
                <w:szCs w:val="24"/>
              </w:rPr>
            </w:pPr>
          </w:p>
        </w:tc>
      </w:tr>
      <w:tr w:rsidR="00323B5F" w:rsidRPr="006E211A" w:rsidTr="00E302F6">
        <w:trPr>
          <w:cantSplit/>
        </w:trPr>
        <w:tc>
          <w:tcPr>
            <w:tcW w:w="6911" w:type="dxa"/>
            <w:tcBorders>
              <w:top w:val="single" w:sz="12" w:space="0" w:color="auto"/>
            </w:tcBorders>
          </w:tcPr>
          <w:p w:rsidR="00323B5F" w:rsidRPr="006E211A" w:rsidRDefault="00323B5F" w:rsidP="00323B5F">
            <w:pPr>
              <w:spacing w:before="0" w:after="48" w:line="240" w:lineRule="atLeast"/>
              <w:rPr>
                <w:rFonts w:ascii="Verdana" w:hAnsi="Verdana"/>
                <w:b/>
                <w:smallCaps/>
                <w:sz w:val="20"/>
              </w:rPr>
            </w:pPr>
          </w:p>
        </w:tc>
        <w:tc>
          <w:tcPr>
            <w:tcW w:w="3120" w:type="dxa"/>
            <w:tcBorders>
              <w:top w:val="single" w:sz="12" w:space="0" w:color="auto"/>
            </w:tcBorders>
          </w:tcPr>
          <w:p w:rsidR="00323B5F" w:rsidRPr="006E211A" w:rsidRDefault="00323B5F" w:rsidP="00323B5F">
            <w:pPr>
              <w:spacing w:before="0" w:line="240" w:lineRule="atLeast"/>
              <w:rPr>
                <w:rFonts w:ascii="Verdana" w:hAnsi="Verdana"/>
                <w:sz w:val="20"/>
              </w:rPr>
            </w:pPr>
          </w:p>
        </w:tc>
      </w:tr>
      <w:tr w:rsidR="00323B5F" w:rsidRPr="006E211A" w:rsidTr="00E302F6">
        <w:trPr>
          <w:cantSplit/>
          <w:trHeight w:val="23"/>
        </w:trPr>
        <w:tc>
          <w:tcPr>
            <w:tcW w:w="6911" w:type="dxa"/>
            <w:shd w:val="clear" w:color="auto" w:fill="auto"/>
          </w:tcPr>
          <w:p w:rsidR="00323B5F" w:rsidRPr="006E211A" w:rsidRDefault="00323B5F" w:rsidP="00323B5F">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6E211A">
              <w:rPr>
                <w:rFonts w:ascii="Verdana" w:hAnsi="Verdana"/>
                <w:sz w:val="20"/>
                <w:szCs w:val="20"/>
              </w:rPr>
              <w:t>PLENARY MEETING</w:t>
            </w:r>
          </w:p>
        </w:tc>
        <w:tc>
          <w:tcPr>
            <w:tcW w:w="3120" w:type="dxa"/>
            <w:shd w:val="clear" w:color="auto" w:fill="auto"/>
          </w:tcPr>
          <w:p w:rsidR="00323B5F" w:rsidRPr="006E211A" w:rsidRDefault="00323B5F" w:rsidP="00323B5F">
            <w:pPr>
              <w:tabs>
                <w:tab w:val="left" w:pos="851"/>
              </w:tabs>
              <w:spacing w:before="0" w:line="240" w:lineRule="atLeast"/>
              <w:rPr>
                <w:rFonts w:ascii="Verdana" w:hAnsi="Verdana"/>
                <w:sz w:val="20"/>
              </w:rPr>
            </w:pPr>
            <w:r w:rsidRPr="006E211A">
              <w:rPr>
                <w:rFonts w:ascii="Verdana" w:eastAsia="SimSun" w:hAnsi="Verdana" w:cs="Traditional Arabic"/>
                <w:b/>
                <w:sz w:val="20"/>
              </w:rPr>
              <w:t>Addendum 6 to</w:t>
            </w:r>
            <w:r w:rsidRPr="006E211A">
              <w:rPr>
                <w:rFonts w:ascii="Verdana" w:eastAsia="SimSun" w:hAnsi="Verdana" w:cs="Traditional Arabic"/>
                <w:b/>
                <w:sz w:val="20"/>
              </w:rPr>
              <w:br/>
              <w:t>Document 32(Add.21)</w:t>
            </w:r>
            <w:r w:rsidRPr="006E211A">
              <w:rPr>
                <w:rFonts w:ascii="Verdana" w:hAnsi="Verdana"/>
                <w:b/>
                <w:sz w:val="20"/>
              </w:rPr>
              <w:t>-E</w:t>
            </w:r>
          </w:p>
        </w:tc>
      </w:tr>
      <w:tr w:rsidR="00323B5F" w:rsidRPr="006E211A" w:rsidTr="00E302F6">
        <w:trPr>
          <w:cantSplit/>
          <w:trHeight w:val="23"/>
        </w:trPr>
        <w:tc>
          <w:tcPr>
            <w:tcW w:w="6911" w:type="dxa"/>
            <w:shd w:val="clear" w:color="auto" w:fill="auto"/>
          </w:tcPr>
          <w:p w:rsidR="00323B5F" w:rsidRPr="006E211A" w:rsidRDefault="00323B5F" w:rsidP="00323B5F">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323B5F" w:rsidRPr="006E211A" w:rsidRDefault="00323B5F" w:rsidP="00323B5F">
            <w:pPr>
              <w:tabs>
                <w:tab w:val="left" w:pos="993"/>
              </w:tabs>
              <w:spacing w:before="0"/>
              <w:rPr>
                <w:rFonts w:ascii="Verdana" w:hAnsi="Verdana"/>
                <w:sz w:val="20"/>
              </w:rPr>
            </w:pPr>
            <w:r w:rsidRPr="006E211A">
              <w:rPr>
                <w:rFonts w:ascii="Verdana" w:hAnsi="Verdana"/>
                <w:b/>
                <w:sz w:val="20"/>
              </w:rPr>
              <w:t>29 September 2015</w:t>
            </w:r>
          </w:p>
        </w:tc>
      </w:tr>
      <w:tr w:rsidR="00323B5F" w:rsidRPr="006E211A" w:rsidTr="00E302F6">
        <w:trPr>
          <w:cantSplit/>
          <w:trHeight w:val="23"/>
        </w:trPr>
        <w:tc>
          <w:tcPr>
            <w:tcW w:w="6911" w:type="dxa"/>
            <w:shd w:val="clear" w:color="auto" w:fill="auto"/>
          </w:tcPr>
          <w:p w:rsidR="00323B5F" w:rsidRPr="006E211A" w:rsidRDefault="00323B5F" w:rsidP="00323B5F">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323B5F" w:rsidRPr="006E211A" w:rsidRDefault="00323B5F" w:rsidP="00323B5F">
            <w:pPr>
              <w:tabs>
                <w:tab w:val="left" w:pos="993"/>
              </w:tabs>
              <w:spacing w:before="0"/>
              <w:rPr>
                <w:rFonts w:ascii="Verdana" w:hAnsi="Verdana"/>
                <w:b/>
                <w:sz w:val="20"/>
              </w:rPr>
            </w:pPr>
            <w:r w:rsidRPr="006E211A">
              <w:rPr>
                <w:rFonts w:ascii="Verdana" w:hAnsi="Verdana"/>
                <w:b/>
                <w:sz w:val="20"/>
              </w:rPr>
              <w:t>Original: English</w:t>
            </w:r>
          </w:p>
        </w:tc>
      </w:tr>
      <w:tr w:rsidR="00323B5F" w:rsidRPr="006E211A" w:rsidTr="00E302F6">
        <w:trPr>
          <w:cantSplit/>
          <w:trHeight w:val="23"/>
        </w:trPr>
        <w:tc>
          <w:tcPr>
            <w:tcW w:w="10031" w:type="dxa"/>
            <w:gridSpan w:val="2"/>
            <w:shd w:val="clear" w:color="auto" w:fill="auto"/>
          </w:tcPr>
          <w:p w:rsidR="00323B5F" w:rsidRPr="006E211A" w:rsidRDefault="00323B5F" w:rsidP="00323B5F">
            <w:pPr>
              <w:tabs>
                <w:tab w:val="left" w:pos="993"/>
              </w:tabs>
              <w:spacing w:before="0"/>
              <w:rPr>
                <w:rFonts w:ascii="Verdana" w:hAnsi="Verdana"/>
                <w:b/>
                <w:sz w:val="20"/>
              </w:rPr>
            </w:pPr>
          </w:p>
        </w:tc>
      </w:tr>
      <w:tr w:rsidR="00323B5F" w:rsidRPr="006E211A" w:rsidTr="00E302F6">
        <w:trPr>
          <w:cantSplit/>
          <w:trHeight w:val="23"/>
        </w:trPr>
        <w:tc>
          <w:tcPr>
            <w:tcW w:w="10031" w:type="dxa"/>
            <w:gridSpan w:val="2"/>
            <w:shd w:val="clear" w:color="auto" w:fill="auto"/>
          </w:tcPr>
          <w:p w:rsidR="00323B5F" w:rsidRPr="006E211A" w:rsidRDefault="00323B5F" w:rsidP="00323B5F">
            <w:pPr>
              <w:pStyle w:val="Source"/>
            </w:pPr>
            <w:r w:rsidRPr="006E211A">
              <w:t>Asia-Pacific Telecommunity Common Proposals</w:t>
            </w:r>
          </w:p>
        </w:tc>
      </w:tr>
      <w:tr w:rsidR="00323B5F" w:rsidRPr="006E211A" w:rsidTr="00E302F6">
        <w:trPr>
          <w:cantSplit/>
          <w:trHeight w:val="23"/>
        </w:trPr>
        <w:tc>
          <w:tcPr>
            <w:tcW w:w="10031" w:type="dxa"/>
            <w:gridSpan w:val="2"/>
            <w:shd w:val="clear" w:color="auto" w:fill="auto"/>
          </w:tcPr>
          <w:p w:rsidR="00323B5F" w:rsidRPr="006E211A" w:rsidRDefault="00323B5F" w:rsidP="00323B5F">
            <w:pPr>
              <w:pStyle w:val="Title1"/>
            </w:pPr>
            <w:r w:rsidRPr="006E211A">
              <w:t>Proposals for the work of the conference</w:t>
            </w:r>
          </w:p>
        </w:tc>
      </w:tr>
      <w:tr w:rsidR="00323B5F" w:rsidRPr="006E211A" w:rsidTr="00E302F6">
        <w:trPr>
          <w:cantSplit/>
          <w:trHeight w:val="23"/>
        </w:trPr>
        <w:tc>
          <w:tcPr>
            <w:tcW w:w="10031" w:type="dxa"/>
            <w:gridSpan w:val="2"/>
            <w:shd w:val="clear" w:color="auto" w:fill="auto"/>
          </w:tcPr>
          <w:p w:rsidR="00323B5F" w:rsidRPr="006E211A" w:rsidRDefault="00323B5F" w:rsidP="00323B5F">
            <w:pPr>
              <w:pStyle w:val="Title2"/>
            </w:pPr>
          </w:p>
        </w:tc>
      </w:tr>
      <w:tr w:rsidR="00323B5F" w:rsidRPr="006E211A" w:rsidTr="00E302F6">
        <w:trPr>
          <w:cantSplit/>
          <w:trHeight w:val="23"/>
        </w:trPr>
        <w:tc>
          <w:tcPr>
            <w:tcW w:w="10031" w:type="dxa"/>
            <w:gridSpan w:val="2"/>
            <w:shd w:val="clear" w:color="auto" w:fill="auto"/>
          </w:tcPr>
          <w:p w:rsidR="00323B5F" w:rsidRPr="006E211A" w:rsidRDefault="00323B5F" w:rsidP="00323B5F">
            <w:pPr>
              <w:pStyle w:val="Agendaitem"/>
              <w:rPr>
                <w:lang w:val="en-GB"/>
              </w:rPr>
            </w:pPr>
            <w:r w:rsidRPr="006E211A">
              <w:rPr>
                <w:lang w:val="en-GB"/>
              </w:rPr>
              <w:t>Agenda item 7(F)</w:t>
            </w:r>
          </w:p>
        </w:tc>
      </w:tr>
    </w:tbl>
    <w:bookmarkEnd w:id="6"/>
    <w:bookmarkEnd w:id="7"/>
    <w:p w:rsidR="00323B5F" w:rsidRPr="006E211A" w:rsidRDefault="00323B5F" w:rsidP="00323B5F">
      <w:pPr>
        <w:overflowPunct/>
        <w:autoSpaceDE/>
        <w:autoSpaceDN/>
        <w:adjustRightInd/>
        <w:textAlignment w:val="auto"/>
      </w:pPr>
      <w:r w:rsidRPr="006E211A">
        <w:t>7</w:t>
      </w:r>
      <w:r w:rsidRPr="006E211A">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6E211A">
        <w:rPr>
          <w:b/>
          <w:bCs/>
        </w:rPr>
        <w:t>86 (Rev.WRC</w:t>
      </w:r>
      <w:r w:rsidRPr="006E211A">
        <w:rPr>
          <w:b/>
          <w:bCs/>
        </w:rPr>
        <w:noBreakHyphen/>
        <w:t>07)</w:t>
      </w:r>
      <w:r w:rsidRPr="006E211A">
        <w:t xml:space="preserve"> to facilitate rational, efficient, and economical use of radio frequencies and any associated orbits, including the geostationary</w:t>
      </w:r>
      <w:r w:rsidRPr="006E211A">
        <w:noBreakHyphen/>
        <w:t>satellite orbit;</w:t>
      </w:r>
    </w:p>
    <w:p w:rsidR="00323B5F" w:rsidRPr="006E211A" w:rsidRDefault="00323B5F" w:rsidP="00323B5F">
      <w:r w:rsidRPr="006E211A">
        <w:t>7(F)</w:t>
      </w:r>
      <w:r w:rsidRPr="006E211A">
        <w:tab/>
        <w:t xml:space="preserve">Issue F – Modifications to RR Appendix </w:t>
      </w:r>
      <w:r w:rsidRPr="006E211A">
        <w:rPr>
          <w:b/>
          <w:bCs/>
        </w:rPr>
        <w:t>30B</w:t>
      </w:r>
      <w:r w:rsidRPr="006E211A">
        <w:t xml:space="preserve"> in relation to the suspension of use of a frequency assignment recorded in the MIFR</w:t>
      </w:r>
    </w:p>
    <w:p w:rsidR="00323B5F" w:rsidRPr="006E211A" w:rsidRDefault="00323B5F">
      <w:pPr>
        <w:spacing w:before="0"/>
        <w:pPrChange w:id="8" w:author="Turnbull, Karen" w:date="2015-10-12T11:05:00Z">
          <w:pPr/>
        </w:pPrChange>
      </w:pPr>
    </w:p>
    <w:p w:rsidR="00323B5F" w:rsidRPr="006E211A" w:rsidRDefault="00830AB2">
      <w:pPr>
        <w:pStyle w:val="Headingb"/>
        <w:rPr>
          <w:lang w:eastAsia="ko-KR"/>
        </w:rPr>
        <w:pPrChange w:id="9" w:author="Turnbull, Karen" w:date="2015-10-12T11:06:00Z">
          <w:pPr>
            <w:jc w:val="both"/>
            <w:outlineLvl w:val="0"/>
          </w:pPr>
        </w:pPrChange>
      </w:pPr>
      <w:r w:rsidRPr="006E211A">
        <w:rPr>
          <w:lang w:val="en-GB" w:eastAsia="ko-KR"/>
        </w:rPr>
        <w:t>Introduction</w:t>
      </w:r>
    </w:p>
    <w:p w:rsidR="00323B5F" w:rsidRPr="006E211A" w:rsidRDefault="00323B5F">
      <w:pPr>
        <w:pPrChange w:id="10" w:author="Turnbull, Karen" w:date="2015-10-12T11:06:00Z">
          <w:pPr>
            <w:spacing w:beforeLines="50" w:afterLines="50" w:after="120"/>
            <w:jc w:val="both"/>
          </w:pPr>
        </w:pPrChange>
      </w:pPr>
      <w:r w:rsidRPr="006E211A">
        <w:t xml:space="preserve">APT Members support the single Method F, as outlined in the </w:t>
      </w:r>
      <w:r w:rsidR="00830AB2" w:rsidRPr="006E211A">
        <w:t>CPM</w:t>
      </w:r>
      <w:r w:rsidRPr="006E211A">
        <w:t xml:space="preserve"> Report, which an alignment between RR Appendix 30B, RR Article 11 and RR Appendices 30 and 30A in relation to the suspension of use of a frequency assignment is required.</w:t>
      </w:r>
    </w:p>
    <w:p w:rsidR="00323B5F" w:rsidRPr="006E211A" w:rsidRDefault="00323B5F">
      <w:pPr>
        <w:pPrChange w:id="11" w:author="Turnbull, Karen" w:date="2015-10-12T11:06:00Z">
          <w:pPr>
            <w:jc w:val="both"/>
          </w:pPr>
        </w:pPrChange>
      </w:pPr>
      <w:r w:rsidRPr="006E211A">
        <w:t>Should WRC-15 adopt additional modifications to RR No. 11.49 and section 5.2.10 of RR Appendices 30 and 30A, WRC-15 is invited to consider the alignment of provisions pertaining to suspension of a frequency assignment in RR Appendix 30B with those modifications.</w:t>
      </w:r>
    </w:p>
    <w:p w:rsidR="00323B5F" w:rsidRPr="006E211A" w:rsidRDefault="00830AB2" w:rsidP="00E916AB">
      <w:pPr>
        <w:pStyle w:val="Headingb"/>
        <w:rPr>
          <w:lang w:val="en-GB" w:eastAsia="ja-JP"/>
        </w:rPr>
      </w:pPr>
      <w:r w:rsidRPr="006E211A">
        <w:rPr>
          <w:lang w:val="en-GB"/>
        </w:rPr>
        <w:t>Proposals</w:t>
      </w:r>
    </w:p>
    <w:p w:rsidR="00323B5F" w:rsidRPr="006E211A" w:rsidRDefault="00323B5F" w:rsidP="00E916AB">
      <w:r w:rsidRPr="006E211A">
        <w:br w:type="page"/>
      </w:r>
    </w:p>
    <w:p w:rsidR="00323B5F" w:rsidRPr="006E211A" w:rsidRDefault="00323B5F" w:rsidP="00323B5F">
      <w:pPr>
        <w:pStyle w:val="AppendixNo"/>
        <w:spacing w:before="0"/>
      </w:pPr>
      <w:r w:rsidRPr="006E211A">
        <w:lastRenderedPageBreak/>
        <w:t xml:space="preserve">APPENDIX </w:t>
      </w:r>
      <w:r w:rsidRPr="006E211A">
        <w:rPr>
          <w:rStyle w:val="href"/>
        </w:rPr>
        <w:t>30B</w:t>
      </w:r>
      <w:r w:rsidRPr="006E211A">
        <w:t xml:space="preserve"> (REV.WRC</w:t>
      </w:r>
      <w:r w:rsidRPr="006E211A">
        <w:noBreakHyphen/>
        <w:t>12)</w:t>
      </w:r>
    </w:p>
    <w:p w:rsidR="00323B5F" w:rsidRPr="006E211A" w:rsidRDefault="00323B5F" w:rsidP="00323B5F">
      <w:pPr>
        <w:pStyle w:val="Appendixtitle"/>
      </w:pPr>
      <w:bookmarkStart w:id="12" w:name="_Toc330560572"/>
      <w:r w:rsidRPr="006E211A">
        <w:t>Provisions and associated Plan for the fixed-satellite service</w:t>
      </w:r>
      <w:r w:rsidRPr="006E211A">
        <w:br/>
        <w:t>in the frequency bands 4 500-4 800 MHz, 6 725-7 025 MHz,</w:t>
      </w:r>
      <w:r w:rsidRPr="006E211A">
        <w:br/>
        <w:t>10.70-10.95 GHz, 11.2-11.45 GHz and 12.75-13.25 GHz</w:t>
      </w:r>
      <w:bookmarkEnd w:id="12"/>
    </w:p>
    <w:p w:rsidR="00323B5F" w:rsidRPr="006E211A" w:rsidRDefault="00323B5F" w:rsidP="00323B5F">
      <w:pPr>
        <w:pStyle w:val="Proposal"/>
      </w:pPr>
      <w:r w:rsidRPr="006E211A">
        <w:t>MOD</w:t>
      </w:r>
      <w:r w:rsidRPr="006E211A">
        <w:tab/>
        <w:t>ASP/32A21A6/1</w:t>
      </w:r>
    </w:p>
    <w:p w:rsidR="00323B5F" w:rsidRPr="006E211A" w:rsidRDefault="00323B5F" w:rsidP="00323B5F">
      <w:pPr>
        <w:pStyle w:val="AppArtNo"/>
      </w:pPr>
      <w:r w:rsidRPr="006E211A">
        <w:t>ARTICLE 6</w:t>
      </w:r>
      <w:r w:rsidRPr="006E211A">
        <w:rPr>
          <w:caps w:val="0"/>
          <w:sz w:val="16"/>
          <w:szCs w:val="16"/>
        </w:rPr>
        <w:t>     (REV.WRC</w:t>
      </w:r>
      <w:r w:rsidRPr="006E211A">
        <w:rPr>
          <w:caps w:val="0"/>
          <w:sz w:val="16"/>
          <w:szCs w:val="16"/>
        </w:rPr>
        <w:noBreakHyphen/>
        <w:t>12)</w:t>
      </w:r>
    </w:p>
    <w:p w:rsidR="00323B5F" w:rsidRPr="006E211A" w:rsidRDefault="00323B5F" w:rsidP="00830AB2">
      <w:pPr>
        <w:pStyle w:val="AppArttitle"/>
        <w:keepNext w:val="0"/>
        <w:keepLines w:val="0"/>
      </w:pPr>
      <w:r w:rsidRPr="006E211A">
        <w:t>Procedures for the conversion of an allotment into an assignment, for</w:t>
      </w:r>
      <w:r w:rsidRPr="006E211A">
        <w:br/>
        <w:t>the introduction of an additional system or for the modification of</w:t>
      </w:r>
      <w:r w:rsidRPr="006E211A">
        <w:br/>
        <w:t>an assignment in the List</w:t>
      </w:r>
      <w:r w:rsidR="00830AB2" w:rsidRPr="006E211A">
        <w:rPr>
          <w:b w:val="0"/>
          <w:bCs/>
          <w:vertAlign w:val="superscript"/>
        </w:rPr>
        <w:t>1, 2</w:t>
      </w:r>
      <w:r w:rsidRPr="006E211A">
        <w:rPr>
          <w:sz w:val="16"/>
          <w:szCs w:val="16"/>
        </w:rPr>
        <w:t>     (WRC</w:t>
      </w:r>
      <w:r w:rsidRPr="006E211A">
        <w:rPr>
          <w:sz w:val="16"/>
          <w:szCs w:val="16"/>
        </w:rPr>
        <w:noBreakHyphen/>
        <w:t>07)</w:t>
      </w:r>
    </w:p>
    <w:p w:rsidR="00323B5F" w:rsidRPr="006E211A" w:rsidRDefault="00323B5F" w:rsidP="00323B5F">
      <w:pPr>
        <w:keepNext/>
      </w:pPr>
      <w:r w:rsidRPr="006E211A">
        <w:t>6.33</w:t>
      </w:r>
    </w:p>
    <w:p w:rsidR="00323B5F" w:rsidRPr="006E211A" w:rsidRDefault="00323B5F" w:rsidP="00323B5F">
      <w:pPr>
        <w:keepNext/>
      </w:pPr>
      <w:r w:rsidRPr="006E211A">
        <w:t>When:</w:t>
      </w:r>
    </w:p>
    <w:p w:rsidR="00323B5F" w:rsidRPr="006E211A" w:rsidRDefault="00323B5F" w:rsidP="00323B5F">
      <w:pPr>
        <w:pStyle w:val="enumlev1"/>
      </w:pPr>
      <w:r w:rsidRPr="006E211A">
        <w:t>i)</w:t>
      </w:r>
      <w:r w:rsidRPr="006E211A">
        <w:tab/>
        <w:t>an assignment is no longer required;</w:t>
      </w:r>
      <w:r w:rsidRPr="006E211A">
        <w:rPr>
          <w:lang w:eastAsia="zh-CN"/>
        </w:rPr>
        <w:t xml:space="preserve"> </w:t>
      </w:r>
      <w:r w:rsidRPr="006E211A">
        <w:rPr>
          <w:i/>
          <w:iCs/>
        </w:rPr>
        <w:t>or</w:t>
      </w:r>
    </w:p>
    <w:p w:rsidR="00323B5F" w:rsidRPr="006E211A" w:rsidRDefault="00323B5F" w:rsidP="00830AB2">
      <w:pPr>
        <w:pStyle w:val="enumlev1"/>
        <w:rPr>
          <w:lang w:eastAsia="zh-CN"/>
        </w:rPr>
      </w:pPr>
      <w:r w:rsidRPr="006E211A">
        <w:t>ii)</w:t>
      </w:r>
      <w:r w:rsidRPr="006E211A">
        <w:tab/>
        <w:t>an assignment recorded in the List and brought into use has been suspended for a period exceedin</w:t>
      </w:r>
      <w:r w:rsidR="00830AB2" w:rsidRPr="006E211A">
        <w:t xml:space="preserve">g </w:t>
      </w:r>
      <w:del w:id="13" w:author="Gimenez, Christine" w:date="2015-10-05T16:37:00Z">
        <w:r w:rsidR="00830AB2" w:rsidRPr="006E211A" w:rsidDel="00830AB2">
          <w:delText>two</w:delText>
        </w:r>
      </w:del>
      <w:ins w:id="14" w:author="Gimenez, Christine" w:date="2015-10-05T14:50:00Z">
        <w:r w:rsidRPr="006E211A">
          <w:t>three</w:t>
        </w:r>
      </w:ins>
      <w:r w:rsidRPr="006E211A">
        <w:t xml:space="preserve"> years and ending after the expiry date specified in § 6.31;</w:t>
      </w:r>
      <w:r w:rsidRPr="006E211A">
        <w:rPr>
          <w:lang w:eastAsia="zh-CN"/>
        </w:rPr>
        <w:t xml:space="preserve"> </w:t>
      </w:r>
      <w:r w:rsidRPr="006E211A">
        <w:rPr>
          <w:i/>
          <w:iCs/>
        </w:rPr>
        <w:t>or</w:t>
      </w:r>
      <w:r w:rsidRPr="006E211A">
        <w:t xml:space="preserve"> </w:t>
      </w:r>
    </w:p>
    <w:p w:rsidR="00323B5F" w:rsidRPr="006E211A" w:rsidRDefault="00323B5F" w:rsidP="00323B5F">
      <w:pPr>
        <w:pStyle w:val="enumlev1"/>
      </w:pPr>
      <w:r w:rsidRPr="006E211A">
        <w:t>iii)</w:t>
      </w:r>
      <w:r w:rsidRPr="006E211A">
        <w:tab/>
        <w:t>an assignment recorded in the List has not been brought into use within the eight-year period following the receipt by the Bureau of the relevant complete information under § 6.1 (or within the extended period in the event of an extension under § 6.31</w:t>
      </w:r>
      <w:r w:rsidRPr="006E211A">
        <w:rPr>
          <w:i/>
          <w:iCs/>
        </w:rPr>
        <w:t>bis</w:t>
      </w:r>
      <w:r w:rsidRPr="006E211A">
        <w:t>), with the exception of assignments submitted by new Member States where § 6.35 and 7.7 apply,</w:t>
      </w:r>
    </w:p>
    <w:p w:rsidR="00323B5F" w:rsidRPr="006E211A" w:rsidRDefault="00323B5F" w:rsidP="00323B5F">
      <w:r w:rsidRPr="006E211A">
        <w:t>the Bureau shall:</w:t>
      </w:r>
    </w:p>
    <w:p w:rsidR="00323B5F" w:rsidRPr="006E211A" w:rsidRDefault="00323B5F" w:rsidP="00323B5F">
      <w:pPr>
        <w:pStyle w:val="enumlev1"/>
      </w:pPr>
      <w:r w:rsidRPr="006E211A">
        <w:rPr>
          <w:i/>
          <w:iCs/>
        </w:rPr>
        <w:t>a)</w:t>
      </w:r>
      <w:r w:rsidRPr="006E211A">
        <w:tab/>
        <w:t>publish in a Special Section of its BR IFIC the cancellation of the related Special Sections and the assignments recorded in the Appendix </w:t>
      </w:r>
      <w:r w:rsidRPr="006E211A">
        <w:rPr>
          <w:b/>
          <w:bCs/>
        </w:rPr>
        <w:t>30B</w:t>
      </w:r>
      <w:r w:rsidRPr="006E211A">
        <w:t xml:space="preserve"> List;</w:t>
      </w:r>
    </w:p>
    <w:p w:rsidR="00323B5F" w:rsidRPr="006E211A" w:rsidRDefault="00323B5F" w:rsidP="00323B5F">
      <w:pPr>
        <w:pStyle w:val="enumlev1"/>
        <w:rPr>
          <w:i/>
          <w:iCs/>
        </w:rPr>
      </w:pPr>
      <w:r w:rsidRPr="006E211A">
        <w:rPr>
          <w:i/>
          <w:iCs/>
        </w:rPr>
        <w:t>b)</w:t>
      </w:r>
      <w:r w:rsidRPr="006E211A">
        <w:tab/>
        <w:t>if the cancelled assignment is the result of a conversion of an allotment without modification, reinstate the allotment in the Appendix </w:t>
      </w:r>
      <w:r w:rsidRPr="006E211A">
        <w:rPr>
          <w:b/>
          <w:bCs/>
        </w:rPr>
        <w:t>30B</w:t>
      </w:r>
      <w:r w:rsidRPr="006E211A">
        <w:t xml:space="preserve"> Plan;</w:t>
      </w:r>
    </w:p>
    <w:p w:rsidR="00323B5F" w:rsidRPr="006E211A" w:rsidRDefault="00323B5F" w:rsidP="00323B5F">
      <w:pPr>
        <w:pStyle w:val="enumlev1"/>
      </w:pPr>
      <w:r w:rsidRPr="006E211A">
        <w:rPr>
          <w:i/>
          <w:iCs/>
        </w:rPr>
        <w:t>c)</w:t>
      </w:r>
      <w:r w:rsidRPr="006E211A">
        <w:tab/>
        <w:t xml:space="preserve">if the cancelled assignment is the result of the conversion of an allotment with modifications, reinstate the allotment with the same orbital location and technical parameters of the cancelled assignment except for its service area, which shall be the national territory of the administration whose allotment is being reinstated; </w:t>
      </w:r>
      <w:r w:rsidRPr="006E211A">
        <w:rPr>
          <w:i/>
          <w:iCs/>
        </w:rPr>
        <w:t>and</w:t>
      </w:r>
    </w:p>
    <w:p w:rsidR="00323B5F" w:rsidRPr="006E211A" w:rsidRDefault="00323B5F" w:rsidP="00323B5F">
      <w:pPr>
        <w:pStyle w:val="enumlev1"/>
      </w:pPr>
      <w:r w:rsidRPr="006E211A">
        <w:rPr>
          <w:i/>
          <w:iCs/>
        </w:rPr>
        <w:t>d)</w:t>
      </w:r>
      <w:r w:rsidRPr="006E211A">
        <w:tab/>
        <w:t>update the reference situation for the allotments of the Plan and the assignments of the List.</w:t>
      </w:r>
      <w:r w:rsidRPr="006E211A">
        <w:rPr>
          <w:color w:val="000000"/>
          <w:sz w:val="16"/>
        </w:rPr>
        <w:t>     (WRC</w:t>
      </w:r>
      <w:r w:rsidRPr="006E211A">
        <w:rPr>
          <w:color w:val="000000"/>
          <w:sz w:val="16"/>
        </w:rPr>
        <w:noBreakHyphen/>
        <w:t>12)</w:t>
      </w:r>
    </w:p>
    <w:p w:rsidR="00323B5F" w:rsidRPr="006E211A" w:rsidRDefault="00323B5F" w:rsidP="00323B5F">
      <w:pPr>
        <w:pStyle w:val="Reasons"/>
      </w:pPr>
    </w:p>
    <w:p w:rsidR="00323B5F" w:rsidRPr="006E211A" w:rsidRDefault="00323B5F" w:rsidP="00323B5F">
      <w:pPr>
        <w:pStyle w:val="Proposal"/>
      </w:pPr>
      <w:r w:rsidRPr="006E211A">
        <w:lastRenderedPageBreak/>
        <w:t>MOD</w:t>
      </w:r>
      <w:r w:rsidRPr="006E211A">
        <w:tab/>
        <w:t>ASP/32A21A6/2</w:t>
      </w:r>
    </w:p>
    <w:p w:rsidR="00323B5F" w:rsidRPr="006E211A" w:rsidRDefault="00323B5F" w:rsidP="00323B5F">
      <w:pPr>
        <w:pStyle w:val="AppArtNo"/>
      </w:pPr>
      <w:r w:rsidRPr="006E211A">
        <w:t>ARTICLE 8</w:t>
      </w:r>
      <w:r w:rsidRPr="006E211A">
        <w:rPr>
          <w:caps w:val="0"/>
          <w:sz w:val="16"/>
          <w:szCs w:val="16"/>
        </w:rPr>
        <w:t>     (REV.WRC</w:t>
      </w:r>
      <w:r w:rsidRPr="006E211A">
        <w:rPr>
          <w:caps w:val="0"/>
          <w:sz w:val="16"/>
          <w:szCs w:val="16"/>
        </w:rPr>
        <w:noBreakHyphen/>
      </w:r>
      <w:del w:id="15" w:author="Gimenez, Christine" w:date="2015-10-05T15:12:00Z">
        <w:r w:rsidRPr="006E211A" w:rsidDel="00257414">
          <w:rPr>
            <w:caps w:val="0"/>
            <w:sz w:val="16"/>
            <w:szCs w:val="16"/>
          </w:rPr>
          <w:delText>12</w:delText>
        </w:r>
      </w:del>
      <w:ins w:id="16" w:author="Gimenez, Christine" w:date="2015-10-05T15:12:00Z">
        <w:r w:rsidRPr="006E211A">
          <w:rPr>
            <w:caps w:val="0"/>
            <w:sz w:val="16"/>
            <w:szCs w:val="16"/>
          </w:rPr>
          <w:t>15</w:t>
        </w:r>
      </w:ins>
      <w:r w:rsidRPr="006E211A">
        <w:rPr>
          <w:caps w:val="0"/>
          <w:sz w:val="16"/>
          <w:szCs w:val="16"/>
        </w:rPr>
        <w:t>)</w:t>
      </w:r>
    </w:p>
    <w:p w:rsidR="00323B5F" w:rsidRPr="006E211A" w:rsidRDefault="00323B5F" w:rsidP="002F1AE8">
      <w:pPr>
        <w:pStyle w:val="AppArttitle"/>
      </w:pPr>
      <w:r w:rsidRPr="006E211A">
        <w:t>Procedure for notification and recording in the Master Register</w:t>
      </w:r>
      <w:r w:rsidRPr="006E211A">
        <w:br/>
        <w:t>of assignments in the planned bands for the</w:t>
      </w:r>
      <w:r w:rsidRPr="006E211A">
        <w:br/>
        <w:t>fixed-satellite service</w:t>
      </w:r>
      <w:r w:rsidR="002F1AE8" w:rsidRPr="006E211A">
        <w:rPr>
          <w:b w:val="0"/>
          <w:bCs/>
          <w:vertAlign w:val="superscript"/>
        </w:rPr>
        <w:t>11, 12</w:t>
      </w:r>
      <w:r w:rsidRPr="006E211A">
        <w:rPr>
          <w:b w:val="0"/>
          <w:bCs/>
          <w:sz w:val="16"/>
          <w:szCs w:val="16"/>
        </w:rPr>
        <w:t>     (WRC</w:t>
      </w:r>
      <w:r w:rsidRPr="006E211A">
        <w:rPr>
          <w:b w:val="0"/>
          <w:bCs/>
          <w:sz w:val="16"/>
          <w:szCs w:val="16"/>
        </w:rPr>
        <w:noBreakHyphen/>
        <w:t>07)</w:t>
      </w:r>
    </w:p>
    <w:p w:rsidR="00E916AB" w:rsidRPr="006E211A" w:rsidRDefault="00E916AB" w:rsidP="002162A1">
      <w:r w:rsidRPr="006E211A">
        <w:t>8.17</w:t>
      </w:r>
      <w:r w:rsidRPr="006E211A">
        <w:tab/>
        <w:t>Where</w:t>
      </w:r>
      <w:ins w:id="17" w:author="Gimenez, Christine" w:date="2015-10-05T15:17:00Z">
        <w:r w:rsidR="00B039FA" w:rsidRPr="006E211A">
          <w:t>ver</w:t>
        </w:r>
      </w:ins>
      <w:r w:rsidRPr="006E211A">
        <w:t xml:space="preserve"> the use of a </w:t>
      </w:r>
      <w:del w:id="18" w:author="Turnbull, Karen" w:date="2015-10-12T11:18:00Z">
        <w:r w:rsidRPr="006E211A" w:rsidDel="00B039FA">
          <w:delText xml:space="preserve">recorded </w:delText>
        </w:r>
      </w:del>
      <w:ins w:id="19" w:author="Gimenez, Christine" w:date="2015-10-05T16:39:00Z">
        <w:r w:rsidR="00B039FA" w:rsidRPr="006E211A">
          <w:t xml:space="preserve">frequency </w:t>
        </w:r>
      </w:ins>
      <w:r w:rsidRPr="006E211A">
        <w:t>assignment to a space station</w:t>
      </w:r>
      <w:ins w:id="20" w:author="Gimenez, Christine" w:date="2015-10-05T15:18:00Z">
        <w:r w:rsidR="00B039FA" w:rsidRPr="006E211A">
          <w:t xml:space="preserve"> recorded in the Master Register</w:t>
        </w:r>
      </w:ins>
      <w:r w:rsidRPr="006E211A">
        <w:t xml:space="preserve"> is suspended for a period not exceeding </w:t>
      </w:r>
      <w:del w:id="21" w:author="Turnbull, Karen" w:date="2015-10-12T11:19:00Z">
        <w:r w:rsidRPr="006E211A" w:rsidDel="00B039FA">
          <w:delText xml:space="preserve">eighteen </w:delText>
        </w:r>
      </w:del>
      <w:ins w:id="22" w:author="Turnbull, Karen" w:date="2015-10-12T11:19:00Z">
        <w:r w:rsidR="00B039FA" w:rsidRPr="006E211A">
          <w:t xml:space="preserve">six </w:t>
        </w:r>
      </w:ins>
      <w:r w:rsidRPr="006E211A">
        <w:t xml:space="preserve">months, the notifying administration shall, as soon as possible, </w:t>
      </w:r>
      <w:ins w:id="23" w:author="Gimenez, Christine" w:date="2015-10-05T15:18:00Z">
        <w:r w:rsidR="00B039FA" w:rsidRPr="006E211A">
          <w:t>but no later than six months from the date on which the use was suspended,</w:t>
        </w:r>
      </w:ins>
      <w:ins w:id="24" w:author="Turnbull, Karen" w:date="2015-10-12T11:20:00Z">
        <w:r w:rsidR="00B039FA" w:rsidRPr="006E211A">
          <w:t xml:space="preserve"> </w:t>
        </w:r>
      </w:ins>
      <w:r w:rsidRPr="006E211A">
        <w:t>inform the Bureau of the date on which such use was suspended</w:t>
      </w:r>
      <w:del w:id="25" w:author="Turnbull, Karen" w:date="2015-10-12T11:22:00Z">
        <w:r w:rsidRPr="006E211A" w:rsidDel="00B039FA">
          <w:delText xml:space="preserve"> and the date on which the assignment is to be brought back into regular use</w:delText>
        </w:r>
      </w:del>
      <w:r w:rsidRPr="006E211A">
        <w:t xml:space="preserve">. </w:t>
      </w:r>
      <w:ins w:id="26" w:author="Gimenez, Christine" w:date="2015-10-05T15:19:00Z">
        <w:r w:rsidR="00B039FA" w:rsidRPr="006E211A">
          <w:t xml:space="preserve">When the recorded assignment is brought back into use, the notifying administration shall so inform the Bureau, as soon as possible. </w:t>
        </w:r>
      </w:ins>
      <w:r w:rsidRPr="006E211A">
        <w:t>Th</w:t>
      </w:r>
      <w:del w:id="27" w:author="Turnbull, Karen" w:date="2015-10-12T11:23:00Z">
        <w:r w:rsidRPr="006E211A" w:rsidDel="00B039FA">
          <w:delText>is</w:delText>
        </w:r>
      </w:del>
      <w:ins w:id="28" w:author="Turnbull, Karen" w:date="2015-10-12T11:23:00Z">
        <w:r w:rsidR="00B039FA" w:rsidRPr="006E211A">
          <w:t>e</w:t>
        </w:r>
      </w:ins>
      <w:r w:rsidRPr="006E211A">
        <w:t xml:space="preserve"> </w:t>
      </w:r>
      <w:del w:id="29" w:author="Turnbull, Karen" w:date="2015-10-12T11:23:00Z">
        <w:r w:rsidRPr="006E211A" w:rsidDel="00B039FA">
          <w:delText xml:space="preserve">latter </w:delText>
        </w:r>
      </w:del>
      <w:r w:rsidRPr="006E211A">
        <w:t xml:space="preserve">date </w:t>
      </w:r>
      <w:ins w:id="30" w:author="Gimenez, Christine" w:date="2015-10-05T15:20:00Z">
        <w:r w:rsidR="00B039FA" w:rsidRPr="006E211A">
          <w:t>on which the recorded assignment is brought back into use</w:t>
        </w:r>
      </w:ins>
      <w:ins w:id="31" w:author="Gimenez, Christine" w:date="2015-10-05T15:25:00Z">
        <w:r w:rsidR="00B039FA" w:rsidRPr="006E211A">
          <w:rPr>
            <w:rStyle w:val="FootnoteReference"/>
            <w:rPrChange w:id="32" w:author="Turnbull, Karen" w:date="2015-10-12T11:24:00Z">
              <w:rPr>
                <w:lang w:val="en-US"/>
              </w:rPr>
            </w:rPrChange>
          </w:rPr>
          <w:t>ADD</w:t>
        </w:r>
      </w:ins>
      <w:ins w:id="33" w:author="Turnbull, Karen" w:date="2015-10-12T11:23:00Z">
        <w:r w:rsidR="00B039FA" w:rsidRPr="006E211A">
          <w:rPr>
            <w:rStyle w:val="FootnoteReference"/>
            <w:rPrChange w:id="34" w:author="Turnbull, Karen" w:date="2015-10-12T11:24:00Z">
              <w:rPr>
                <w:vertAlign w:val="superscript"/>
                <w:lang w:val="en-US"/>
              </w:rPr>
            </w:rPrChange>
          </w:rPr>
          <w:t> </w:t>
        </w:r>
      </w:ins>
      <w:ins w:id="35" w:author="Gimenez, Christine" w:date="2015-10-05T15:35:00Z">
        <w:r w:rsidR="00B039FA" w:rsidRPr="006E211A">
          <w:rPr>
            <w:rStyle w:val="FootnoteReference"/>
            <w:rPrChange w:id="36" w:author="Turnbull, Karen" w:date="2015-10-12T11:24:00Z">
              <w:rPr>
                <w:vertAlign w:val="superscript"/>
                <w:lang w:val="en-US"/>
              </w:rPr>
            </w:rPrChange>
          </w:rPr>
          <w:t>14</w:t>
        </w:r>
        <w:r w:rsidR="00B039FA" w:rsidRPr="006E211A">
          <w:rPr>
            <w:rStyle w:val="FootnoteReference"/>
            <w:rPrChange w:id="37" w:author="Turnbull, Karen" w:date="2015-10-12T11:24:00Z">
              <w:rPr>
                <w:i/>
                <w:iCs/>
                <w:vertAlign w:val="superscript"/>
                <w:lang w:val="en-US"/>
              </w:rPr>
            </w:rPrChange>
          </w:rPr>
          <w:t>bis</w:t>
        </w:r>
      </w:ins>
      <w:ins w:id="38" w:author="Turnbull, Karen" w:date="2015-10-12T11:23:00Z">
        <w:r w:rsidR="00B039FA" w:rsidRPr="006E211A">
          <w:rPr>
            <w:i/>
            <w:iCs/>
            <w:vertAlign w:val="superscript"/>
          </w:rPr>
          <w:t xml:space="preserve"> </w:t>
        </w:r>
      </w:ins>
      <w:r w:rsidRPr="006E211A">
        <w:t xml:space="preserve">shall </w:t>
      </w:r>
      <w:del w:id="39" w:author="Turnbull, Karen" w:date="2015-10-12T11:25:00Z">
        <w:r w:rsidRPr="006E211A" w:rsidDel="00B039FA">
          <w:delText xml:space="preserve">not exceed two </w:delText>
        </w:r>
      </w:del>
      <w:ins w:id="40" w:author="Gimenez, Christine" w:date="2015-10-05T15:28:00Z">
        <w:r w:rsidR="00B039FA" w:rsidRPr="006E211A">
          <w:t>be no later tha</w:t>
        </w:r>
        <w:bookmarkStart w:id="41" w:name="_GoBack"/>
        <w:bookmarkEnd w:id="41"/>
        <w:r w:rsidR="00B039FA" w:rsidRPr="006E211A">
          <w:t>n three</w:t>
        </w:r>
      </w:ins>
      <w:ins w:id="42" w:author="Turnbull, Karen" w:date="2015-10-12T11:25:00Z">
        <w:r w:rsidR="00B039FA" w:rsidRPr="006E211A">
          <w:t xml:space="preserve"> </w:t>
        </w:r>
      </w:ins>
      <w:r w:rsidRPr="006E211A">
        <w:t xml:space="preserve">years from the date of suspension. If </w:t>
      </w:r>
      <w:del w:id="43" w:author="Turnbull, Karen" w:date="2015-10-12T11:25:00Z">
        <w:r w:rsidRPr="006E211A" w:rsidDel="00B039FA">
          <w:delText xml:space="preserve">the </w:delText>
        </w:r>
      </w:del>
      <w:ins w:id="44" w:author="Gimenez, Christine" w:date="2015-10-05T15:28:00Z">
        <w:r w:rsidR="00B039FA" w:rsidRPr="006E211A">
          <w:t>a recorded frequency</w:t>
        </w:r>
      </w:ins>
      <w:ins w:id="45" w:author="Turnbull, Karen" w:date="2015-10-12T11:25:00Z">
        <w:r w:rsidR="00B039FA" w:rsidRPr="006E211A">
          <w:t xml:space="preserve"> </w:t>
        </w:r>
      </w:ins>
      <w:r w:rsidRPr="006E211A">
        <w:t xml:space="preserve">assignment is not brought back into use within </w:t>
      </w:r>
      <w:del w:id="46" w:author="Turnbull, Karen" w:date="2015-10-12T11:25:00Z">
        <w:r w:rsidRPr="006E211A" w:rsidDel="002162A1">
          <w:delText xml:space="preserve">two </w:delText>
        </w:r>
      </w:del>
      <w:ins w:id="47" w:author="Turnbull, Karen" w:date="2015-10-12T11:25:00Z">
        <w:r w:rsidR="002162A1" w:rsidRPr="006E211A">
          <w:t xml:space="preserve">three </w:t>
        </w:r>
      </w:ins>
      <w:r w:rsidRPr="006E211A">
        <w:t>years from the date of suspension, the Bureau shall cancel the assignment from the Master Register and apply the provisions of § 6.33.</w:t>
      </w:r>
      <w:r w:rsidRPr="006E211A">
        <w:rPr>
          <w:sz w:val="16"/>
        </w:rPr>
        <w:t>     (</w:t>
      </w:r>
      <w:r w:rsidRPr="006E211A">
        <w:rPr>
          <w:sz w:val="16"/>
          <w:szCs w:val="16"/>
        </w:rPr>
        <w:t>WRC</w:t>
      </w:r>
      <w:r w:rsidRPr="006E211A">
        <w:rPr>
          <w:sz w:val="16"/>
          <w:szCs w:val="16"/>
        </w:rPr>
        <w:noBreakHyphen/>
      </w:r>
      <w:del w:id="48" w:author="Turnbull, Karen" w:date="2015-10-12T11:26:00Z">
        <w:r w:rsidRPr="006E211A" w:rsidDel="002162A1">
          <w:rPr>
            <w:sz w:val="16"/>
            <w:szCs w:val="16"/>
          </w:rPr>
          <w:delText>07</w:delText>
        </w:r>
      </w:del>
      <w:ins w:id="49" w:author="Turnbull, Karen" w:date="2015-10-12T11:26:00Z">
        <w:r w:rsidR="002162A1" w:rsidRPr="006E211A">
          <w:rPr>
            <w:sz w:val="16"/>
            <w:szCs w:val="16"/>
          </w:rPr>
          <w:t>15</w:t>
        </w:r>
      </w:ins>
      <w:r w:rsidRPr="006E211A">
        <w:rPr>
          <w:sz w:val="16"/>
          <w:szCs w:val="16"/>
        </w:rPr>
        <w:t>)</w:t>
      </w:r>
    </w:p>
    <w:p w:rsidR="00323B5F" w:rsidRPr="006E211A" w:rsidRDefault="00323B5F" w:rsidP="00323B5F">
      <w:pPr>
        <w:pStyle w:val="Reasons"/>
      </w:pPr>
    </w:p>
    <w:p w:rsidR="00323B5F" w:rsidRPr="006E211A" w:rsidRDefault="00323B5F" w:rsidP="00323B5F">
      <w:pPr>
        <w:pStyle w:val="Proposal"/>
      </w:pPr>
      <w:r w:rsidRPr="006E211A">
        <w:t>ADD</w:t>
      </w:r>
      <w:r w:rsidRPr="006E211A">
        <w:tab/>
        <w:t>ASP/32A21A6/3</w:t>
      </w:r>
    </w:p>
    <w:p w:rsidR="002162A1" w:rsidRPr="006E211A" w:rsidRDefault="002162A1" w:rsidP="002162A1">
      <w:pPr>
        <w:keepNext/>
      </w:pPr>
      <w:r w:rsidRPr="006E211A">
        <w:t>_______________</w:t>
      </w:r>
    </w:p>
    <w:p w:rsidR="00323B5F" w:rsidRPr="006E211A" w:rsidRDefault="00323B5F" w:rsidP="002162A1">
      <w:pPr>
        <w:pStyle w:val="FootnoteText"/>
      </w:pPr>
      <w:r w:rsidRPr="006E211A">
        <w:rPr>
          <w:rStyle w:val="FootnoteReference"/>
        </w:rPr>
        <w:t>14</w:t>
      </w:r>
      <w:r w:rsidRPr="006E211A">
        <w:rPr>
          <w:rStyle w:val="FootnoteReference"/>
          <w:i/>
          <w:iCs/>
        </w:rPr>
        <w:t>bis</w:t>
      </w:r>
      <w:r w:rsidR="002162A1" w:rsidRPr="006E211A">
        <w:t>  </w:t>
      </w:r>
      <w:r w:rsidRPr="006E211A">
        <w:tab/>
      </w:r>
      <w:r w:rsidR="00803D11" w:rsidRPr="006E211A">
        <w:t>The date of bringing back into use of a frequency assignment to a space station in the geostationary</w:t>
      </w:r>
      <w:r w:rsidR="002162A1" w:rsidRPr="006E211A">
        <w:t>-</w:t>
      </w:r>
      <w:r w:rsidR="00803D11" w:rsidRPr="006E211A">
        <w:t>satellite orbit shall be the date of the commencement of the ninety-day period defined below. A frequency assignment to a space station in the geostationary-satellite orbit shall be considered as having been brought back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r w:rsidR="00803D11" w:rsidRPr="006E211A">
        <w:rPr>
          <w:sz w:val="16"/>
        </w:rPr>
        <w:t>     (</w:t>
      </w:r>
      <w:r w:rsidR="00803D11" w:rsidRPr="006E211A">
        <w:rPr>
          <w:sz w:val="16"/>
          <w:szCs w:val="16"/>
        </w:rPr>
        <w:t>WRC</w:t>
      </w:r>
      <w:r w:rsidR="00803D11" w:rsidRPr="006E211A">
        <w:rPr>
          <w:sz w:val="16"/>
          <w:szCs w:val="16"/>
        </w:rPr>
        <w:noBreakHyphen/>
        <w:t>15)</w:t>
      </w:r>
    </w:p>
    <w:p w:rsidR="00E45329" w:rsidRPr="006E211A" w:rsidRDefault="00E45329" w:rsidP="0032202E">
      <w:pPr>
        <w:pStyle w:val="Reasons"/>
      </w:pPr>
    </w:p>
    <w:p w:rsidR="002162A1" w:rsidRPr="006E211A" w:rsidRDefault="002162A1" w:rsidP="0032202E">
      <w:pPr>
        <w:pStyle w:val="Reasons"/>
      </w:pPr>
    </w:p>
    <w:p w:rsidR="002162A1" w:rsidRPr="006E211A" w:rsidRDefault="002162A1">
      <w:pPr>
        <w:jc w:val="center"/>
      </w:pPr>
      <w:r w:rsidRPr="006E211A">
        <w:t>______________</w:t>
      </w:r>
    </w:p>
    <w:sectPr w:rsidR="002162A1" w:rsidRPr="006E211A">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302F6">
      <w:rPr>
        <w:noProof/>
        <w:lang w:val="en-US"/>
      </w:rPr>
      <w:t>P:\ENG\ITU-R\CONF-R\CMR15\000\032ADD21ADD06E.docx</w:t>
    </w:r>
    <w:r>
      <w:fldChar w:fldCharType="end"/>
    </w:r>
    <w:r w:rsidRPr="0041348E">
      <w:rPr>
        <w:lang w:val="en-US"/>
      </w:rPr>
      <w:tab/>
    </w:r>
    <w:r>
      <w:fldChar w:fldCharType="begin"/>
    </w:r>
    <w:r>
      <w:instrText xml:space="preserve"> SAVEDATE \@ DD.MM.YY </w:instrText>
    </w:r>
    <w:r>
      <w:fldChar w:fldCharType="separate"/>
    </w:r>
    <w:r w:rsidR="00E302F6">
      <w:rPr>
        <w:noProof/>
      </w:rPr>
      <w:t>12.10.15</w:t>
    </w:r>
    <w:r>
      <w:fldChar w:fldCharType="end"/>
    </w:r>
    <w:r w:rsidRPr="0041348E">
      <w:rPr>
        <w:lang w:val="en-US"/>
      </w:rPr>
      <w:tab/>
    </w:r>
    <w:r>
      <w:fldChar w:fldCharType="begin"/>
    </w:r>
    <w:r>
      <w:instrText xml:space="preserve"> PRINTDATE \@ DD.MM.YY </w:instrText>
    </w:r>
    <w:r>
      <w:fldChar w:fldCharType="separate"/>
    </w:r>
    <w:r w:rsidR="00E302F6">
      <w:rPr>
        <w:noProof/>
      </w:rPr>
      <w:t>13.10.15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E302F6">
      <w:rPr>
        <w:lang w:val="en-US"/>
      </w:rPr>
      <w:t>P:\ENG\ITU-R\CONF-R\CMR15\000\032ADD21ADD06E.docx</w:t>
    </w:r>
    <w:r>
      <w:fldChar w:fldCharType="end"/>
    </w:r>
    <w:r w:rsidR="00E916AB">
      <w:t xml:space="preserve"> (387332)</w:t>
    </w:r>
    <w:r w:rsidRPr="0041348E">
      <w:rPr>
        <w:lang w:val="en-US"/>
      </w:rPr>
      <w:tab/>
    </w:r>
    <w:r>
      <w:fldChar w:fldCharType="begin"/>
    </w:r>
    <w:r>
      <w:instrText xml:space="preserve"> SAVEDATE \@ DD.MM.YY </w:instrText>
    </w:r>
    <w:r>
      <w:fldChar w:fldCharType="separate"/>
    </w:r>
    <w:r w:rsidR="00E302F6">
      <w:t>12.10.15</w:t>
    </w:r>
    <w:r>
      <w:fldChar w:fldCharType="end"/>
    </w:r>
    <w:r w:rsidRPr="0041348E">
      <w:rPr>
        <w:lang w:val="en-US"/>
      </w:rPr>
      <w:tab/>
    </w:r>
    <w:r>
      <w:fldChar w:fldCharType="begin"/>
    </w:r>
    <w:r>
      <w:instrText xml:space="preserve"> PRINTDATE \@ DD.MM.YY </w:instrText>
    </w:r>
    <w:r>
      <w:fldChar w:fldCharType="separate"/>
    </w:r>
    <w:r w:rsidR="00E302F6">
      <w:t>13.10.15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E302F6">
      <w:rPr>
        <w:lang w:val="en-US"/>
      </w:rPr>
      <w:t>P:\ENG\ITU-R\CONF-R\CMR15\000\032ADD21ADD06E.docx</w:t>
    </w:r>
    <w:r>
      <w:fldChar w:fldCharType="end"/>
    </w:r>
    <w:r w:rsidR="00E916AB">
      <w:t xml:space="preserve"> (387332)</w:t>
    </w:r>
    <w:r w:rsidRPr="0041348E">
      <w:rPr>
        <w:lang w:val="en-US"/>
      </w:rPr>
      <w:tab/>
    </w:r>
    <w:r>
      <w:fldChar w:fldCharType="begin"/>
    </w:r>
    <w:r>
      <w:instrText xml:space="preserve"> SAVEDATE \@ DD.MM.YY </w:instrText>
    </w:r>
    <w:r>
      <w:fldChar w:fldCharType="separate"/>
    </w:r>
    <w:r w:rsidR="00E302F6">
      <w:t>12.10.15</w:t>
    </w:r>
    <w:r>
      <w:fldChar w:fldCharType="end"/>
    </w:r>
    <w:r w:rsidRPr="0041348E">
      <w:rPr>
        <w:lang w:val="en-US"/>
      </w:rPr>
      <w:tab/>
    </w:r>
    <w:r>
      <w:fldChar w:fldCharType="begin"/>
    </w:r>
    <w:r>
      <w:instrText xml:space="preserve"> PRINTDATE \@ DD.MM.YY </w:instrText>
    </w:r>
    <w:r>
      <w:fldChar w:fldCharType="separate"/>
    </w:r>
    <w:r w:rsidR="00E302F6">
      <w:t>13.10.15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302F6">
      <w:rPr>
        <w:noProof/>
      </w:rPr>
      <w:t>3</w:t>
    </w:r>
    <w:r>
      <w:fldChar w:fldCharType="end"/>
    </w:r>
  </w:p>
  <w:p w:rsidR="00A066F1" w:rsidRPr="00A066F1" w:rsidRDefault="00187BD9" w:rsidP="00241FA2">
    <w:pPr>
      <w:pStyle w:val="Header"/>
    </w:pPr>
    <w:r>
      <w:t>CMR1</w:t>
    </w:r>
    <w:r w:rsidR="00241FA2">
      <w:t>5</w:t>
    </w:r>
    <w:r w:rsidR="00A066F1">
      <w:t>/</w:t>
    </w:r>
    <w:bookmarkStart w:id="50" w:name="OLE_LINK1"/>
    <w:bookmarkStart w:id="51" w:name="OLE_LINK2"/>
    <w:bookmarkStart w:id="52" w:name="OLE_LINK3"/>
    <w:r w:rsidR="00EB55C6">
      <w:t>32(Add.21)(Add.6)</w:t>
    </w:r>
    <w:bookmarkEnd w:id="50"/>
    <w:bookmarkEnd w:id="51"/>
    <w:bookmarkEnd w:id="52"/>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bull, Karen">
    <w15:presenceInfo w15:providerId="AD" w15:userId="S-1-5-21-8740799-900759487-1415713722-6120"/>
  </w15:person>
  <w15:person w15:author="Gimenez, Christine">
    <w15:presenceInfo w15:providerId="AD" w15:userId="S-1-5-21-8740799-900759487-1415713722-23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235A"/>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2A1"/>
    <w:rsid w:val="00216B6D"/>
    <w:rsid w:val="00241FA2"/>
    <w:rsid w:val="00271316"/>
    <w:rsid w:val="002B349C"/>
    <w:rsid w:val="002D58BE"/>
    <w:rsid w:val="002F1AE8"/>
    <w:rsid w:val="00323B5F"/>
    <w:rsid w:val="00361B37"/>
    <w:rsid w:val="00377BD3"/>
    <w:rsid w:val="00384088"/>
    <w:rsid w:val="003852CE"/>
    <w:rsid w:val="0039169B"/>
    <w:rsid w:val="003A7F8C"/>
    <w:rsid w:val="003B2284"/>
    <w:rsid w:val="003B532E"/>
    <w:rsid w:val="003D0F8B"/>
    <w:rsid w:val="003D68D7"/>
    <w:rsid w:val="003E0DB6"/>
    <w:rsid w:val="0041348E"/>
    <w:rsid w:val="00420873"/>
    <w:rsid w:val="00492075"/>
    <w:rsid w:val="00493CD6"/>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211A"/>
    <w:rsid w:val="006E3D45"/>
    <w:rsid w:val="007149F9"/>
    <w:rsid w:val="00733A30"/>
    <w:rsid w:val="00745AEE"/>
    <w:rsid w:val="00750F10"/>
    <w:rsid w:val="007742CA"/>
    <w:rsid w:val="00790D70"/>
    <w:rsid w:val="007A6F1F"/>
    <w:rsid w:val="007D5320"/>
    <w:rsid w:val="00800972"/>
    <w:rsid w:val="00803D11"/>
    <w:rsid w:val="00804475"/>
    <w:rsid w:val="00811633"/>
    <w:rsid w:val="00830AB2"/>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039FA"/>
    <w:rsid w:val="00B639E9"/>
    <w:rsid w:val="00B817CD"/>
    <w:rsid w:val="00B81A7D"/>
    <w:rsid w:val="00B94AD0"/>
    <w:rsid w:val="00BB3A95"/>
    <w:rsid w:val="00BB3F2A"/>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302F6"/>
    <w:rsid w:val="00E45329"/>
    <w:rsid w:val="00E45D05"/>
    <w:rsid w:val="00E55816"/>
    <w:rsid w:val="00E55AEF"/>
    <w:rsid w:val="00E6733A"/>
    <w:rsid w:val="00E916AB"/>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E684B60-9C0E-450A-9F16-66B11A26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B5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 w:type="character" w:customStyle="1" w:styleId="ArtrefBold">
    <w:name w:val="Art_ref + Bold"/>
    <w:basedOn w:val="Artref"/>
    <w:rsid w:val="00F9677B"/>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R15-WRC15-C-0032!A21-A6!MSW-E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BF821CD4-EBB3-4D47-AAE8-F66DC0010CF9}">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32a1a8c5-2265-4ebc-b7a0-2071e2c5c9bb"/>
    <ds:schemaRef ds:uri="http://purl.org/dc/elements/1.1/"/>
    <ds:schemaRef ds:uri="http://schemas.openxmlformats.org/package/2006/metadata/core-properties"/>
    <ds:schemaRef ds:uri="996b2e75-67fd-4955-a3b0-5ab9934cb50b"/>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A506D3-8C84-4705-8495-D123D798B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29</TotalTime>
  <Pages>3</Pages>
  <Words>775</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R15-WRC15-C-0032!A21-A6!MSW-E</vt:lpstr>
    </vt:vector>
  </TitlesOfParts>
  <Manager>General Secretariat - Pool</Manager>
  <Company>International Telecommunication Union (ITU)</Company>
  <LinksUpToDate>false</LinksUpToDate>
  <CharactersWithSpaces>5136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R15-WRC15-C-0032!A21-A6!MSW-E</dc:title>
  <dc:subject>World Radiocommunication Conference - 2015</dc:subject>
  <dc:creator>Documents Proposals Manager (DPM)</dc:creator>
  <cp:keywords>DPM_v5.2015.9.16_prod</cp:keywords>
  <dc:description>Uploaded on 2015.07.06</dc:description>
  <cp:lastModifiedBy>Neal, Sharon</cp:lastModifiedBy>
  <cp:revision>7</cp:revision>
  <cp:lastPrinted>2015-10-13T12:21:00Z</cp:lastPrinted>
  <dcterms:created xsi:type="dcterms:W3CDTF">2015-10-12T09:05:00Z</dcterms:created>
  <dcterms:modified xsi:type="dcterms:W3CDTF">2015-10-13T12:25:00Z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