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C94390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C94390">
              <w:rPr>
                <w:rFonts w:ascii="Verdana" w:eastAsia="SimSun" w:hAnsi="Verdana" w:cs="Traditional Arabic"/>
                <w:b/>
                <w:sz w:val="20"/>
              </w:rPr>
              <w:t>Addendum 5 au</w:t>
            </w:r>
            <w:r w:rsidRPr="00C94390">
              <w:rPr>
                <w:rFonts w:ascii="Verdana" w:eastAsia="SimSun" w:hAnsi="Verdana" w:cs="Traditional Arabic"/>
                <w:b/>
                <w:sz w:val="20"/>
              </w:rPr>
              <w:br/>
              <w:t>Document 32(Add.21)</w:t>
            </w:r>
            <w:r w:rsidR="00BB1D82" w:rsidRPr="00C94390">
              <w:rPr>
                <w:rFonts w:ascii="Verdana" w:hAnsi="Verdana"/>
                <w:b/>
                <w:sz w:val="20"/>
              </w:rPr>
              <w:t>-</w:t>
            </w:r>
            <w:r w:rsidRPr="00C94390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C94390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B4A7F" w:rsidRDefault="00EB4A7F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042D30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CE536B" w:rsidTr="0050008E">
        <w:trPr>
          <w:cantSplit/>
        </w:trPr>
        <w:tc>
          <w:tcPr>
            <w:tcW w:w="10031" w:type="dxa"/>
            <w:gridSpan w:val="2"/>
          </w:tcPr>
          <w:p w:rsidR="00690C7B" w:rsidRPr="00CE536B" w:rsidRDefault="00690C7B" w:rsidP="00CE536B">
            <w:pPr>
              <w:pStyle w:val="Title1"/>
            </w:pPr>
            <w:bookmarkStart w:id="3" w:name="dtitle1" w:colFirst="0" w:colLast="0"/>
            <w:bookmarkEnd w:id="2"/>
            <w:r w:rsidRPr="00CE536B">
              <w:t>Propos</w:t>
            </w:r>
            <w:r w:rsidR="00CE536B" w:rsidRPr="00CE536B">
              <w:t>iti</w:t>
            </w:r>
            <w:r w:rsidR="00C1338F">
              <w:t>ons pour les travaux de la confé</w:t>
            </w:r>
            <w:r w:rsidR="00CE536B" w:rsidRPr="00CE536B">
              <w:t>rence</w:t>
            </w:r>
          </w:p>
        </w:tc>
      </w:tr>
      <w:tr w:rsidR="00690C7B" w:rsidRPr="00CE536B" w:rsidTr="0050008E">
        <w:trPr>
          <w:cantSplit/>
        </w:trPr>
        <w:tc>
          <w:tcPr>
            <w:tcW w:w="10031" w:type="dxa"/>
            <w:gridSpan w:val="2"/>
          </w:tcPr>
          <w:p w:rsidR="00690C7B" w:rsidRPr="00CE536B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7(E) de l'ordre du jour</w:t>
            </w:r>
          </w:p>
        </w:tc>
      </w:tr>
    </w:tbl>
    <w:bookmarkEnd w:id="5"/>
    <w:p w:rsidR="001C0E40" w:rsidRPr="00EC691D" w:rsidRDefault="00C1338F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</w:t>
      </w:r>
      <w:bookmarkStart w:id="6" w:name="_GoBack"/>
      <w:bookmarkEnd w:id="6"/>
      <w:r w:rsidRPr="0003194D">
        <w:rPr>
          <w:lang w:val="fr-CA"/>
        </w:rPr>
        <w:t>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C0E40" w:rsidRDefault="00C1338F">
      <w:pPr>
        <w:rPr>
          <w:lang w:val="fr-CH"/>
        </w:rPr>
      </w:pPr>
      <w:r>
        <w:rPr>
          <w:lang w:val="fr-CH"/>
        </w:rPr>
        <w:t>7(E)</w:t>
      </w:r>
      <w:r>
        <w:rPr>
          <w:lang w:val="fr-CH"/>
        </w:rPr>
        <w:tab/>
      </w:r>
      <w:r w:rsidRPr="00731224">
        <w:rPr>
          <w:lang w:val="fr-CH"/>
        </w:rPr>
        <w:t>Question E – Défaillance d'un satellite au cours de la période de 90</w:t>
      </w:r>
      <w:r>
        <w:rPr>
          <w:lang w:val="fr-CH"/>
        </w:rPr>
        <w:t> </w:t>
      </w:r>
      <w:r w:rsidRPr="00731224">
        <w:rPr>
          <w:lang w:val="fr-CH"/>
        </w:rPr>
        <w:t>jours prévue pour la mise en service</w:t>
      </w:r>
      <w:r>
        <w:rPr>
          <w:lang w:val="fr-CH"/>
        </w:rPr>
        <w:t>.</w:t>
      </w:r>
    </w:p>
    <w:p w:rsidR="00CE536B" w:rsidRPr="00FB568E" w:rsidRDefault="00CE536B">
      <w:pPr>
        <w:rPr>
          <w:lang w:val="fr-CA"/>
        </w:rPr>
      </w:pPr>
    </w:p>
    <w:p w:rsidR="003A583E" w:rsidRPr="00FD36C2" w:rsidRDefault="00CE536B" w:rsidP="00CE536B">
      <w:pPr>
        <w:pStyle w:val="Headingb"/>
        <w:rPr>
          <w:lang w:val="fr-CH"/>
        </w:rPr>
      </w:pPr>
      <w:r w:rsidRPr="00FD36C2">
        <w:rPr>
          <w:lang w:val="fr-CH"/>
        </w:rPr>
        <w:t>Introduction</w:t>
      </w:r>
    </w:p>
    <w:p w:rsidR="00CE536B" w:rsidRPr="00EF5D90" w:rsidRDefault="00EF5D90" w:rsidP="0032291E">
      <w:pPr>
        <w:rPr>
          <w:lang w:val="fr-CH"/>
        </w:rPr>
      </w:pPr>
      <w:r w:rsidRPr="00EF5D90">
        <w:rPr>
          <w:lang w:val="fr-CH" w:eastAsia="ko-KR"/>
        </w:rPr>
        <w:t>Les Membres de l’</w:t>
      </w:r>
      <w:r w:rsidR="00CE536B" w:rsidRPr="00EF5D90">
        <w:rPr>
          <w:lang w:val="fr-CH" w:eastAsia="ko-KR"/>
        </w:rPr>
        <w:t xml:space="preserve">APT </w:t>
      </w:r>
      <w:r w:rsidRPr="00EF5D90">
        <w:rPr>
          <w:lang w:val="fr-CH" w:eastAsia="ko-KR"/>
        </w:rPr>
        <w:t>sont d’avis qu’il y a lieu d’examiner la situation au cas par cas.</w:t>
      </w:r>
      <w:r w:rsidR="00CE536B" w:rsidRPr="00EF5D90">
        <w:rPr>
          <w:lang w:val="fr-CH" w:eastAsia="ko-KR"/>
        </w:rPr>
        <w:t>.</w:t>
      </w:r>
    </w:p>
    <w:p w:rsidR="00CE536B" w:rsidRPr="00EF5D90" w:rsidRDefault="00EF5D90" w:rsidP="0032291E">
      <w:pPr>
        <w:rPr>
          <w:lang w:val="fr-CH" w:eastAsia="ja-JP"/>
        </w:rPr>
      </w:pPr>
      <w:r w:rsidRPr="00EF5D90">
        <w:rPr>
          <w:lang w:val="fr-CH" w:eastAsia="ko-KR"/>
        </w:rPr>
        <w:t>Les Membres de l’APT appuient la</w:t>
      </w:r>
      <w:r w:rsidR="00CE536B" w:rsidRPr="00EF5D90">
        <w:rPr>
          <w:lang w:val="fr-CH"/>
        </w:rPr>
        <w:t xml:space="preserve"> M</w:t>
      </w:r>
      <w:r w:rsidRPr="00EF5D90">
        <w:rPr>
          <w:lang w:val="fr-CH"/>
        </w:rPr>
        <w:t>éthode</w:t>
      </w:r>
      <w:r w:rsidR="00CE536B" w:rsidRPr="00EF5D90">
        <w:rPr>
          <w:lang w:val="fr-CH"/>
        </w:rPr>
        <w:t xml:space="preserve"> E3 </w:t>
      </w:r>
      <w:r>
        <w:rPr>
          <w:lang w:val="fr-CH"/>
        </w:rPr>
        <w:t>qui figure dans le Rapport de la RPC</w:t>
      </w:r>
      <w:r w:rsidR="00CE536B" w:rsidRPr="00EF5D90">
        <w:rPr>
          <w:b/>
          <w:iCs/>
          <w:lang w:val="fr-CH"/>
        </w:rPr>
        <w:t>.</w:t>
      </w:r>
    </w:p>
    <w:p w:rsidR="00CE536B" w:rsidRPr="00EF5D90" w:rsidRDefault="00EF5D90" w:rsidP="0032291E">
      <w:pPr>
        <w:rPr>
          <w:lang w:val="fr-CH"/>
        </w:rPr>
      </w:pPr>
      <w:r w:rsidRPr="00EF5D90">
        <w:rPr>
          <w:lang w:val="fr-CH" w:eastAsia="ko-KR"/>
        </w:rPr>
        <w:t>Les Membres de l’APT n’appuient pas les</w:t>
      </w:r>
      <w:r w:rsidRPr="00EF5D90">
        <w:rPr>
          <w:lang w:val="fr-CH"/>
        </w:rPr>
        <w:t xml:space="preserve"> Mé</w:t>
      </w:r>
      <w:r w:rsidR="00CE536B" w:rsidRPr="00EF5D90">
        <w:rPr>
          <w:lang w:val="fr-CH"/>
        </w:rPr>
        <w:t>thod</w:t>
      </w:r>
      <w:r>
        <w:rPr>
          <w:lang w:val="fr-CH"/>
        </w:rPr>
        <w:t>e</w:t>
      </w:r>
      <w:r w:rsidR="00CE536B" w:rsidRPr="00EF5D90">
        <w:rPr>
          <w:lang w:val="fr-CH"/>
        </w:rPr>
        <w:t xml:space="preserve">s E1, E2 </w:t>
      </w:r>
      <w:r>
        <w:rPr>
          <w:lang w:val="fr-CH"/>
        </w:rPr>
        <w:t>et</w:t>
      </w:r>
      <w:r w:rsidR="00CE536B" w:rsidRPr="00EF5D90">
        <w:rPr>
          <w:lang w:val="fr-CH"/>
        </w:rPr>
        <w:t xml:space="preserve"> E4 </w:t>
      </w:r>
      <w:r>
        <w:rPr>
          <w:lang w:val="fr-CH"/>
        </w:rPr>
        <w:t>qui figurent dans le Rapport de la RPC</w:t>
      </w:r>
      <w:r w:rsidR="00CE536B" w:rsidRPr="00EF5D90">
        <w:rPr>
          <w:lang w:val="fr-CH"/>
        </w:rPr>
        <w:t>.</w:t>
      </w:r>
    </w:p>
    <w:p w:rsidR="00EB4A7F" w:rsidRPr="00EB4A7F" w:rsidRDefault="00CE536B" w:rsidP="00CE536B">
      <w:pPr>
        <w:pStyle w:val="Headingb"/>
        <w:rPr>
          <w:lang w:val="fr-CH"/>
        </w:rPr>
      </w:pPr>
      <w:r w:rsidRPr="00EB4A7F">
        <w:rPr>
          <w:lang w:val="fr-CH"/>
        </w:rPr>
        <w:t>Proposition</w:t>
      </w:r>
    </w:p>
    <w:p w:rsidR="0015203F" w:rsidRPr="00EB4A7F" w:rsidRDefault="0015203F" w:rsidP="00EB4A7F">
      <w:pPr>
        <w:rPr>
          <w:lang w:val="fr-CH"/>
        </w:rPr>
      </w:pPr>
      <w:r w:rsidRPr="00EB4A7F">
        <w:rPr>
          <w:lang w:val="fr-CH"/>
        </w:rPr>
        <w:br w:type="page"/>
      </w:r>
    </w:p>
    <w:p w:rsidR="003B366F" w:rsidRDefault="00C1338F">
      <w:pPr>
        <w:pStyle w:val="Proposal"/>
      </w:pPr>
      <w:r>
        <w:rPr>
          <w:u w:val="single"/>
        </w:rPr>
        <w:lastRenderedPageBreak/>
        <w:t>NOC</w:t>
      </w:r>
      <w:r>
        <w:tab/>
      </w:r>
      <w:r w:rsidR="00EB4A7F">
        <w:t>ASP</w:t>
      </w:r>
      <w:r>
        <w:t>/32A21A5/1</w:t>
      </w:r>
    </w:p>
    <w:p w:rsidR="004A6A8C" w:rsidRPr="001F58CF" w:rsidRDefault="00C1338F" w:rsidP="00501CC0">
      <w:pPr>
        <w:pStyle w:val="ArtNo"/>
      </w:pPr>
      <w:r w:rsidRPr="00501CC0">
        <w:t>ARTICLE</w:t>
      </w:r>
      <w:r w:rsidRPr="001F58CF">
        <w:t xml:space="preserve"> </w:t>
      </w:r>
      <w:r w:rsidRPr="001F58CF">
        <w:rPr>
          <w:rStyle w:val="href"/>
        </w:rPr>
        <w:t>11</w:t>
      </w:r>
    </w:p>
    <w:p w:rsidR="004A6A8C" w:rsidRPr="000C4F5E" w:rsidRDefault="00C1338F" w:rsidP="00DC7B57">
      <w:pPr>
        <w:pStyle w:val="Arttitle"/>
      </w:pPr>
      <w:r w:rsidRPr="00E82312">
        <w:t>Notification et inscription des assignations</w:t>
      </w:r>
      <w:r w:rsidRPr="00E82312">
        <w:br/>
        <w:t xml:space="preserve">de </w:t>
      </w:r>
      <w:r w:rsidRPr="00463598">
        <w:t>fréquence</w:t>
      </w:r>
      <w:r w:rsidRPr="00CE536B">
        <w:rPr>
          <w:rStyle w:val="FootnoteReference"/>
          <w:b w:val="0"/>
          <w:bCs/>
        </w:rPr>
        <w:t>1, 2, 3, 4, 5, 6, 7, 7</w:t>
      </w:r>
      <w:r w:rsidRPr="00CE536B">
        <w:rPr>
          <w:rStyle w:val="FootnoteReference"/>
          <w:b w:val="0"/>
          <w:bCs/>
          <w:i/>
          <w:iCs/>
        </w:rPr>
        <w:t>bis</w:t>
      </w:r>
      <w:r w:rsidRPr="00653F06">
        <w:rPr>
          <w:rStyle w:val="FootnoteReference"/>
        </w:rPr>
        <w:t> </w:t>
      </w:r>
      <w:r w:rsidRPr="00466ED8">
        <w:rPr>
          <w:b w:val="0"/>
          <w:bCs/>
          <w:sz w:val="16"/>
          <w:szCs w:val="16"/>
        </w:rPr>
        <w:t>  (CMR-12)</w:t>
      </w:r>
    </w:p>
    <w:p w:rsidR="00CE536B" w:rsidRDefault="00CE536B">
      <w:pPr>
        <w:pStyle w:val="Reasons"/>
      </w:pPr>
    </w:p>
    <w:p w:rsidR="00CE536B" w:rsidRDefault="00CE536B" w:rsidP="00C1338F">
      <w:pPr>
        <w:pStyle w:val="Normalend"/>
      </w:pPr>
    </w:p>
    <w:p w:rsidR="00C1338F" w:rsidRDefault="00C1338F">
      <w:pPr>
        <w:jc w:val="center"/>
      </w:pPr>
      <w:r>
        <w:t>______________</w:t>
      </w:r>
    </w:p>
    <w:sectPr w:rsidR="00C1338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6C2">
      <w:rPr>
        <w:noProof/>
        <w:lang w:val="en-US"/>
      </w:rPr>
      <w:t>P:\FRA\ITU-R\CONF-R\CMR15\000\032ADD21ADD05F.docx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6C2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6C2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6C2">
      <w:rPr>
        <w:lang w:val="en-US"/>
      </w:rPr>
      <w:t>P:\FRA\ITU-R\CONF-R\CMR15\000\032ADD21ADD05F.docx</w:t>
    </w:r>
    <w:r>
      <w:fldChar w:fldCharType="end"/>
    </w:r>
    <w:r w:rsidR="00F73E9C">
      <w:t xml:space="preserve"> (387330)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6C2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6C2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D36C2">
      <w:rPr>
        <w:lang w:val="en-US"/>
      </w:rPr>
      <w:t>P:\FRA\ITU-R\CONF-R\CMR15\000\032ADD21ADD05F.docx</w:t>
    </w:r>
    <w:r>
      <w:fldChar w:fldCharType="end"/>
    </w:r>
    <w:r w:rsidR="00F73E9C">
      <w:t xml:space="preserve"> (387330)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D36C2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36C2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D36C2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32(Add.21)(Add.5)-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2291E"/>
    <w:rsid w:val="003606A6"/>
    <w:rsid w:val="0036650C"/>
    <w:rsid w:val="00393ACD"/>
    <w:rsid w:val="003A583E"/>
    <w:rsid w:val="003B366F"/>
    <w:rsid w:val="003B7F0D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1338F"/>
    <w:rsid w:val="00C53FCA"/>
    <w:rsid w:val="00C76BAF"/>
    <w:rsid w:val="00C814B9"/>
    <w:rsid w:val="00C94390"/>
    <w:rsid w:val="00CD516F"/>
    <w:rsid w:val="00CE536B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B4A7F"/>
    <w:rsid w:val="00EC7615"/>
    <w:rsid w:val="00ED16AA"/>
    <w:rsid w:val="00EF5D90"/>
    <w:rsid w:val="00EF662E"/>
    <w:rsid w:val="00F148F1"/>
    <w:rsid w:val="00F73E9C"/>
    <w:rsid w:val="00FA08C8"/>
    <w:rsid w:val="00FA3BBF"/>
    <w:rsid w:val="00FC41F8"/>
    <w:rsid w:val="00FD36C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7BB1A16-1695-4E41-93E9-9689B756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R15-WRC15-C-0032!A21-A5!MSW-F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B9450-D868-4A00-9DC4-16CBDCE6B796}">
  <ds:schemaRefs>
    <ds:schemaRef ds:uri="http://schemas.microsoft.com/office/infopath/2007/PartnerControls"/>
    <ds:schemaRef ds:uri="http://www.w3.org/XML/1998/namespace"/>
    <ds:schemaRef ds:uri="http://purl.org/dc/dcmitype/"/>
    <ds:schemaRef ds:uri="32a1a8c5-2265-4ebc-b7a0-2071e2c5c9bb"/>
    <ds:schemaRef ds:uri="http://purl.org/dc/elements/1.1/"/>
    <ds:schemaRef ds:uri="996b2e75-67fd-4955-a3b0-5ab9934cb50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1252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R15-WRC15-C-0032!A21-A5!MSW-F</vt:lpstr>
    </vt:vector>
  </TitlesOfParts>
  <Manager>Secrétariat général - Pool</Manager>
  <Company>Union internationale des télécommunications (UIT)</Company>
  <LinksUpToDate>false</LinksUpToDate>
  <CharactersWithSpaces>1449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R15-WRC15-C-0032!A21-A5!MSW-F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5</cp:revision>
  <cp:lastPrinted>2015-10-08T10:52:00Z</cp:lastPrinted>
  <dcterms:created xsi:type="dcterms:W3CDTF">2015-10-08T10:51:00Z</dcterms:created>
  <dcterms:modified xsi:type="dcterms:W3CDTF">2015-10-08T10:53:00Z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