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13 to</w:t>
            </w:r>
            <w:r>
              <w:rPr>
                <w:rFonts w:ascii="Verdana" w:eastAsia="SimSun" w:hAnsi="Verdana" w:cs="Traditional Arabic"/>
                <w:b/>
                <w:sz w:val="20"/>
              </w:rPr>
              <w:br/>
              <w:t>Document 32(Add.21)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29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Asia-Pacific Telecommunity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853562">
            <w:pPr>
              <w:pStyle w:val="Agendaitem"/>
            </w:pPr>
            <w:r>
              <w:t>Agenda item 7</w:t>
            </w:r>
          </w:p>
        </w:tc>
      </w:tr>
    </w:tbl>
    <w:bookmarkEnd w:id="6"/>
    <w:bookmarkEnd w:id="7"/>
    <w:p w:rsidR="00B02325" w:rsidRPr="000002F2" w:rsidRDefault="0074062F" w:rsidP="001C7D70">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1838A7" w:rsidRPr="00853562" w:rsidRDefault="001838A7" w:rsidP="001838A7">
      <w:pPr>
        <w:pStyle w:val="Headingb"/>
        <w:rPr>
          <w:lang w:val="en-GB" w:eastAsia="zh-CN"/>
        </w:rPr>
      </w:pPr>
      <w:r w:rsidRPr="00853562">
        <w:rPr>
          <w:lang w:val="en-GB" w:eastAsia="zh-CN"/>
        </w:rPr>
        <w:t>Issue X: Review of the orbital position limitations in Annex 7 to RR Appendix 30</w:t>
      </w:r>
    </w:p>
    <w:p w:rsidR="001838A7" w:rsidRPr="00853562" w:rsidRDefault="001838A7" w:rsidP="001838A7">
      <w:pPr>
        <w:pStyle w:val="Headingb"/>
        <w:rPr>
          <w:rFonts w:eastAsia="BatangChe"/>
          <w:lang w:val="en-GB" w:eastAsia="ko-KR"/>
        </w:rPr>
      </w:pPr>
      <w:r w:rsidRPr="00853562">
        <w:rPr>
          <w:rFonts w:eastAsia="BatangChe"/>
          <w:lang w:val="en-GB" w:eastAsia="ko-KR"/>
        </w:rPr>
        <w:t>Introduction</w:t>
      </w:r>
    </w:p>
    <w:p w:rsidR="001838A7" w:rsidRPr="00665ADF" w:rsidRDefault="001838A7" w:rsidP="001838A7">
      <w:pPr>
        <w:rPr>
          <w:rFonts w:eastAsia="BatangChe"/>
          <w:lang w:val="en-US"/>
        </w:rPr>
      </w:pPr>
      <w:r w:rsidRPr="00665ADF">
        <w:rPr>
          <w:rFonts w:eastAsia="BatangChe"/>
          <w:lang w:val="en-US"/>
        </w:rPr>
        <w:t xml:space="preserve">RR Appendix </w:t>
      </w:r>
      <w:r w:rsidRPr="001838A7">
        <w:rPr>
          <w:rFonts w:eastAsia="BatangChe"/>
          <w:bCs/>
          <w:lang w:val="en-US"/>
        </w:rPr>
        <w:t>30</w:t>
      </w:r>
      <w:r w:rsidRPr="00665ADF">
        <w:rPr>
          <w:rFonts w:eastAsia="BatangChe"/>
          <w:lang w:val="en-US"/>
        </w:rPr>
        <w:t xml:space="preserve"> contains provisions for use of the BSS Plans and Regions 1 and 3 List, as well as for modifying the Plan (in the case of Region 2) or the List (in the case of Regions 1 and 3). It is a self-contained Appendix, including provisions for modifying the Plan or List (Article </w:t>
      </w:r>
      <w:r w:rsidRPr="00665ADF">
        <w:rPr>
          <w:rFonts w:eastAsia="BatangChe"/>
          <w:bCs/>
          <w:lang w:val="en-US"/>
        </w:rPr>
        <w:t>4</w:t>
      </w:r>
      <w:r w:rsidRPr="00665ADF">
        <w:rPr>
          <w:rFonts w:eastAsia="BatangChe"/>
          <w:lang w:val="en-US"/>
        </w:rPr>
        <w:t xml:space="preserve">), notifying Plan or List assignments and for coordinating other services in the frequency bands vis a vis the Plan and List (Articles </w:t>
      </w:r>
      <w:r w:rsidRPr="00665ADF">
        <w:rPr>
          <w:rFonts w:eastAsia="BatangChe"/>
          <w:bCs/>
          <w:lang w:val="en-US"/>
        </w:rPr>
        <w:t>6</w:t>
      </w:r>
      <w:r w:rsidRPr="00665ADF">
        <w:rPr>
          <w:rFonts w:eastAsia="BatangChe"/>
          <w:lang w:val="en-US"/>
        </w:rPr>
        <w:t xml:space="preserve"> and </w:t>
      </w:r>
      <w:r w:rsidRPr="00665ADF">
        <w:rPr>
          <w:rFonts w:eastAsia="BatangChe"/>
          <w:bCs/>
          <w:lang w:val="en-US"/>
        </w:rPr>
        <w:t>7</w:t>
      </w:r>
      <w:r w:rsidRPr="00665ADF">
        <w:rPr>
          <w:rFonts w:eastAsia="BatangChe"/>
          <w:lang w:val="en-US"/>
        </w:rPr>
        <w:t xml:space="preserve">). RR Appendix </w:t>
      </w:r>
      <w:r w:rsidRPr="001838A7">
        <w:rPr>
          <w:rFonts w:eastAsia="BatangChe"/>
          <w:bCs/>
          <w:lang w:val="en-US"/>
        </w:rPr>
        <w:t>30</w:t>
      </w:r>
      <w:r w:rsidRPr="00665ADF">
        <w:rPr>
          <w:rFonts w:eastAsia="BatangChe"/>
          <w:lang w:val="en-US"/>
        </w:rPr>
        <w:t xml:space="preserve"> also contains detailed criteria for sharing between the Plan/List and other services. </w:t>
      </w:r>
      <w:r w:rsidRPr="00665ADF">
        <w:rPr>
          <w:rFonts w:eastAsia="BatangChe"/>
          <w:noProof/>
          <w:lang w:val="en-US"/>
        </w:rPr>
        <w:t xml:space="preserve">In particular, the relevant provisions and associated technical criteria for Annex 7 to Appendix </w:t>
      </w:r>
      <w:r w:rsidRPr="001838A7">
        <w:rPr>
          <w:rFonts w:eastAsia="BatangChe"/>
          <w:bCs/>
          <w:noProof/>
          <w:lang w:val="en-US"/>
        </w:rPr>
        <w:t>30</w:t>
      </w:r>
      <w:r w:rsidRPr="00665ADF">
        <w:rPr>
          <w:rFonts w:eastAsia="BatangChe"/>
          <w:noProof/>
          <w:lang w:val="en-US"/>
        </w:rPr>
        <w:t xml:space="preserve"> is:</w:t>
      </w:r>
    </w:p>
    <w:p w:rsidR="001838A7" w:rsidRPr="00665ADF" w:rsidRDefault="001838A7" w:rsidP="00741FAB">
      <w:pPr>
        <w:pStyle w:val="enumlev1"/>
        <w:rPr>
          <w:noProof/>
        </w:rPr>
      </w:pPr>
      <w:r w:rsidRPr="00665ADF">
        <w:rPr>
          <w:noProof/>
        </w:rPr>
        <w:t>–</w:t>
      </w:r>
      <w:r w:rsidRPr="00665ADF">
        <w:rPr>
          <w:noProof/>
        </w:rPr>
        <w:tab/>
        <w:t>orbital position limitations on modifications to the BSS Plan or List; specifically applicable to Region 2 BSS in 12.2-12.7 GHz and to Region 1 BSS in 11.7-12.2 GHz. Annex 7 also contains associated e.i.r.p. limits for Region 1 BSS in a portion of the arc.</w:t>
      </w:r>
    </w:p>
    <w:p w:rsidR="001838A7" w:rsidRDefault="001838A7" w:rsidP="00741FAB">
      <w:pPr>
        <w:rPr>
          <w:lang w:val="en-US" w:eastAsia="zh-CN"/>
        </w:rPr>
      </w:pPr>
      <w:r w:rsidRPr="00665ADF">
        <w:rPr>
          <w:rFonts w:eastAsia="Batang"/>
          <w:lang w:val="en-US"/>
        </w:rPr>
        <w:t xml:space="preserve">The review under this issue is on the orbital position limitations on modifications to the BSS Plans and List contained Annex 7 to RR Appendix </w:t>
      </w:r>
      <w:r w:rsidRPr="001838A7">
        <w:rPr>
          <w:rFonts w:eastAsia="Batang"/>
          <w:bCs/>
          <w:lang w:val="en-US"/>
        </w:rPr>
        <w:t>30</w:t>
      </w:r>
      <w:r w:rsidRPr="00665ADF">
        <w:rPr>
          <w:rFonts w:eastAsia="Batang"/>
          <w:lang w:val="en-US"/>
        </w:rPr>
        <w:t>. These limitations were designed to facilitate sharing with the fixed-satellite service (FSS) in the shared part of the orbital arc between the Regions. In the Ku band frequencies, the BSS allocations are not global, for example, 11.7</w:t>
      </w:r>
      <w:r w:rsidR="000D42D5">
        <w:rPr>
          <w:rFonts w:eastAsia="Batang"/>
          <w:lang w:val="en-US"/>
        </w:rPr>
        <w:t>-</w:t>
      </w:r>
      <w:r w:rsidRPr="00665ADF">
        <w:rPr>
          <w:rFonts w:eastAsia="Batang"/>
          <w:lang w:val="en-US"/>
        </w:rPr>
        <w:t>12.2 GHz is BSS in Region 1 and FSS in Region 2. These orbital position limitations were maintained at WRC-2000 during the last Regions 1 and 3 planning conference, as during a planning conference, many new BSS slots could be adopted at once which could significantly limit the future access of FSS to the shared portion of the orbital arc.</w:t>
      </w:r>
    </w:p>
    <w:p w:rsidR="001838A7" w:rsidRDefault="001838A7" w:rsidP="001838A7">
      <w:pPr>
        <w:jc w:val="both"/>
        <w:rPr>
          <w:bCs/>
        </w:rPr>
      </w:pPr>
      <w:r>
        <w:rPr>
          <w:bCs/>
        </w:rPr>
        <w:t xml:space="preserve">APT Members support no change to </w:t>
      </w:r>
      <w:r>
        <w:rPr>
          <w:rFonts w:hint="eastAsia"/>
          <w:bCs/>
          <w:lang w:eastAsia="zh-CN"/>
        </w:rPr>
        <w:t>Appendix 30 of the</w:t>
      </w:r>
      <w:r w:rsidRPr="00AE79CF">
        <w:rPr>
          <w:bCs/>
        </w:rPr>
        <w:t xml:space="preserve"> </w:t>
      </w:r>
      <w:r>
        <w:rPr>
          <w:bCs/>
        </w:rPr>
        <w:t>Radio Regulations under this issue</w:t>
      </w:r>
      <w:r w:rsidRPr="00AE79CF">
        <w:rPr>
          <w:bCs/>
        </w:rPr>
        <w:t>.</w:t>
      </w:r>
    </w:p>
    <w:p w:rsidR="001838A7" w:rsidRPr="00A875F0" w:rsidRDefault="0074062F" w:rsidP="001838A7">
      <w:pPr>
        <w:pStyle w:val="Headingb"/>
        <w:rPr>
          <w:rFonts w:eastAsia="MS Mincho"/>
          <w:lang w:val="en-AU" w:eastAsia="ja-JP"/>
        </w:rPr>
      </w:pPr>
      <w:r w:rsidRPr="00853562">
        <w:rPr>
          <w:lang w:val="en-GB"/>
        </w:rPr>
        <w:t>Proposal</w:t>
      </w:r>
    </w:p>
    <w:p w:rsidR="00D54825" w:rsidRPr="00B06821" w:rsidRDefault="0074062F" w:rsidP="00853562">
      <w:pPr>
        <w:pStyle w:val="AppendixNo"/>
        <w:rPr>
          <w:vertAlign w:val="superscript"/>
          <w:lang w:val="en-US"/>
        </w:rPr>
      </w:pPr>
      <w:bookmarkStart w:id="8" w:name="_Toc330560546"/>
      <w:r w:rsidRPr="00B06821">
        <w:rPr>
          <w:lang w:val="en-US"/>
        </w:rPr>
        <w:lastRenderedPageBreak/>
        <w:t xml:space="preserve">APPENDIX </w:t>
      </w:r>
      <w:r w:rsidRPr="00B06821">
        <w:rPr>
          <w:rStyle w:val="href"/>
          <w:lang w:val="en-US"/>
        </w:rPr>
        <w:t>30</w:t>
      </w:r>
      <w:r w:rsidRPr="00B06821">
        <w:rPr>
          <w:lang w:val="en-US"/>
        </w:rPr>
        <w:t xml:space="preserve"> (</w:t>
      </w:r>
      <w:r w:rsidRPr="00354DCE">
        <w:t>REV</w:t>
      </w:r>
      <w:r w:rsidRPr="00B06821">
        <w:rPr>
          <w:lang w:val="en-US"/>
        </w:rPr>
        <w:t>.</w:t>
      </w:r>
      <w:r>
        <w:rPr>
          <w:lang w:val="en-US"/>
        </w:rPr>
        <w:t>WRC</w:t>
      </w:r>
      <w:r>
        <w:rPr>
          <w:lang w:val="en-US"/>
        </w:rPr>
        <w:noBreakHyphen/>
      </w:r>
      <w:r w:rsidRPr="00B06821">
        <w:rPr>
          <w:lang w:val="en-US"/>
        </w:rPr>
        <w:t>12)</w:t>
      </w:r>
      <w:bookmarkEnd w:id="8"/>
      <w:r w:rsidR="00853562">
        <w:t>*</w:t>
      </w:r>
    </w:p>
    <w:p w:rsidR="00D54825" w:rsidRDefault="0074062F" w:rsidP="00853562">
      <w:pPr>
        <w:pStyle w:val="Appendixtitle"/>
        <w:rPr>
          <w:rFonts w:ascii="Times New Roman"/>
          <w:b w:val="0"/>
          <w:bCs/>
          <w:color w:val="000000"/>
          <w:sz w:val="16"/>
        </w:rPr>
      </w:pPr>
      <w:bookmarkStart w:id="9" w:name="_Toc330560547"/>
      <w:r w:rsidRPr="00821BE4">
        <w:t>Provisions for all services and associated Plans and List</w:t>
      </w:r>
      <w:r w:rsidR="00853562" w:rsidRPr="00853562">
        <w:rPr>
          <w:rFonts w:cs="Times New Roman Bold"/>
          <w:vertAlign w:val="superscript"/>
        </w:rPr>
        <w:t>1</w:t>
      </w:r>
      <w:r w:rsidRPr="00821BE4">
        <w:t xml:space="preserve"> for</w:t>
      </w:r>
      <w:r w:rsidRPr="00821BE4">
        <w:br/>
        <w:t>the broadcasting-satellite service in the frequency bands</w:t>
      </w:r>
      <w:r w:rsidRPr="00821BE4">
        <w:br/>
        <w:t>11.7-12.2 GHz (in Region 3), 11.7-12.5 GHz (in Region 1)</w:t>
      </w:r>
      <w:r w:rsidRPr="00821BE4">
        <w:br/>
        <w:t>         and 12.2-12.7 GHz (in Region 2)</w:t>
      </w:r>
      <w:r>
        <w:rPr>
          <w:b w:val="0"/>
          <w:bCs/>
          <w:color w:val="000000"/>
          <w:sz w:val="16"/>
        </w:rPr>
        <w:t>  </w:t>
      </w:r>
      <w:r w:rsidRPr="00D41CE2">
        <w:rPr>
          <w:b w:val="0"/>
          <w:bCs/>
          <w:color w:val="000000"/>
          <w:sz w:val="16"/>
        </w:rPr>
        <w:t>  </w:t>
      </w:r>
      <w:r w:rsidRPr="00D41CE2">
        <w:rPr>
          <w:rFonts w:ascii="Times New Roman"/>
          <w:b w:val="0"/>
          <w:bCs/>
          <w:color w:val="000000"/>
          <w:sz w:val="16"/>
        </w:rPr>
        <w:t>(</w:t>
      </w:r>
      <w:r>
        <w:rPr>
          <w:rFonts w:ascii="Times New Roman"/>
          <w:b w:val="0"/>
          <w:bCs/>
          <w:color w:val="000000"/>
          <w:sz w:val="16"/>
        </w:rPr>
        <w:t>WRC</w:t>
      </w:r>
      <w:r>
        <w:rPr>
          <w:rFonts w:ascii="Times New Roman"/>
          <w:b w:val="0"/>
          <w:bCs/>
          <w:color w:val="000000"/>
          <w:sz w:val="16"/>
        </w:rPr>
        <w:noBreakHyphen/>
      </w:r>
      <w:r w:rsidRPr="00D41CE2">
        <w:rPr>
          <w:rFonts w:ascii="Times New Roman"/>
          <w:b w:val="0"/>
          <w:bCs/>
          <w:color w:val="000000"/>
          <w:sz w:val="16"/>
        </w:rPr>
        <w:t>03)</w:t>
      </w:r>
      <w:bookmarkEnd w:id="9"/>
    </w:p>
    <w:p w:rsidR="00933320" w:rsidRDefault="0074062F">
      <w:pPr>
        <w:pStyle w:val="Proposal"/>
      </w:pPr>
      <w:r>
        <w:rPr>
          <w:u w:val="single"/>
        </w:rPr>
        <w:t>NOC</w:t>
      </w:r>
      <w:r>
        <w:tab/>
        <w:t>ASP/32A21A13/1</w:t>
      </w:r>
    </w:p>
    <w:p w:rsidR="00D54825" w:rsidRPr="001838A7" w:rsidRDefault="0074062F" w:rsidP="009C741B">
      <w:pPr>
        <w:pStyle w:val="AnnexNo"/>
      </w:pPr>
      <w:bookmarkStart w:id="10" w:name="_Toc330560560"/>
      <w:r w:rsidRPr="001838A7">
        <w:t>ANNEX  7</w:t>
      </w:r>
      <w:r w:rsidRPr="001838A7">
        <w:rPr>
          <w:sz w:val="16"/>
          <w:szCs w:val="16"/>
        </w:rPr>
        <w:t>     (Rev.WRC</w:t>
      </w:r>
      <w:r w:rsidRPr="001838A7">
        <w:rPr>
          <w:sz w:val="16"/>
          <w:szCs w:val="16"/>
        </w:rPr>
        <w:noBreakHyphen/>
        <w:t>03)</w:t>
      </w:r>
      <w:bookmarkEnd w:id="10"/>
    </w:p>
    <w:p w:rsidR="00D54825" w:rsidRPr="001838A7" w:rsidRDefault="0074062F" w:rsidP="00C3281B">
      <w:pPr>
        <w:pStyle w:val="Annextitle"/>
      </w:pPr>
      <w:bookmarkStart w:id="11" w:name="_Toc330560561"/>
      <w:r w:rsidRPr="001838A7">
        <w:t>Orbital position limitations</w:t>
      </w:r>
      <w:bookmarkEnd w:id="11"/>
    </w:p>
    <w:p w:rsidR="001838A7" w:rsidRDefault="001838A7" w:rsidP="0032202E">
      <w:pPr>
        <w:pStyle w:val="Reasons"/>
      </w:pPr>
    </w:p>
    <w:p w:rsidR="001838A7" w:rsidRDefault="001838A7">
      <w:pPr>
        <w:jc w:val="center"/>
      </w:pPr>
      <w:r>
        <w:t>______________</w:t>
      </w:r>
      <w:bookmarkStart w:id="12" w:name="_GoBack"/>
      <w:bookmarkEnd w:id="12"/>
    </w:p>
    <w:sectPr w:rsidR="001838A7">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15BA7">
      <w:rPr>
        <w:noProof/>
        <w:lang w:val="en-US"/>
      </w:rPr>
      <w:t>P:\ENG\ITU-R\CONF-R\CMR15\000\032ADD21ADD13E.docx</w:t>
    </w:r>
    <w:r>
      <w:fldChar w:fldCharType="end"/>
    </w:r>
    <w:r w:rsidRPr="0041348E">
      <w:rPr>
        <w:lang w:val="en-US"/>
      </w:rPr>
      <w:tab/>
    </w:r>
    <w:r>
      <w:fldChar w:fldCharType="begin"/>
    </w:r>
    <w:r>
      <w:instrText xml:space="preserve"> SAVEDATE \@ DD.MM.YY </w:instrText>
    </w:r>
    <w:r>
      <w:fldChar w:fldCharType="separate"/>
    </w:r>
    <w:r w:rsidR="00C15BA7">
      <w:rPr>
        <w:noProof/>
      </w:rPr>
      <w:t>14.10.15</w:t>
    </w:r>
    <w:r>
      <w:fldChar w:fldCharType="end"/>
    </w:r>
    <w:r w:rsidRPr="0041348E">
      <w:rPr>
        <w:lang w:val="en-US"/>
      </w:rPr>
      <w:tab/>
    </w:r>
    <w:r>
      <w:fldChar w:fldCharType="begin"/>
    </w:r>
    <w:r>
      <w:instrText xml:space="preserve"> PRINTDATE \@ DD.MM.YY </w:instrText>
    </w:r>
    <w:r>
      <w:fldChar w:fldCharType="separate"/>
    </w:r>
    <w:r w:rsidR="00C15BA7">
      <w:rPr>
        <w:noProof/>
      </w:rPr>
      <w:t>14.10.15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1838A7">
    <w:pPr>
      <w:pStyle w:val="Footer"/>
    </w:pPr>
    <w:r>
      <w:fldChar w:fldCharType="begin"/>
    </w:r>
    <w:r w:rsidRPr="0041348E">
      <w:rPr>
        <w:lang w:val="en-US"/>
      </w:rPr>
      <w:instrText xml:space="preserve"> FILENAME \p  \* MERGEFORMAT </w:instrText>
    </w:r>
    <w:r>
      <w:fldChar w:fldCharType="separate"/>
    </w:r>
    <w:r w:rsidR="00C15BA7">
      <w:rPr>
        <w:lang w:val="en-US"/>
      </w:rPr>
      <w:t>P:\ENG\ITU-R\CONF-R\CMR15\000\032ADD21ADD13E.docx</w:t>
    </w:r>
    <w:r>
      <w:fldChar w:fldCharType="end"/>
    </w:r>
    <w:r w:rsidR="00F8752C">
      <w:t>(387342)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1838A7">
    <w:pPr>
      <w:pStyle w:val="Footer"/>
      <w:rPr>
        <w:lang w:val="en-US"/>
      </w:rPr>
    </w:pPr>
    <w:r>
      <w:fldChar w:fldCharType="begin"/>
    </w:r>
    <w:r w:rsidRPr="0041348E">
      <w:rPr>
        <w:lang w:val="en-US"/>
      </w:rPr>
      <w:instrText xml:space="preserve"> FILENAME \p  \* MERGEFORMAT </w:instrText>
    </w:r>
    <w:r>
      <w:fldChar w:fldCharType="separate"/>
    </w:r>
    <w:r w:rsidR="00C15BA7">
      <w:rPr>
        <w:lang w:val="en-US"/>
      </w:rPr>
      <w:t>P:\ENG\ITU-R\CONF-R\CMR15\000\032ADD21ADD13E.docx</w:t>
    </w:r>
    <w:r>
      <w:fldChar w:fldCharType="end"/>
    </w:r>
    <w:r w:rsidR="00F8752C">
      <w:t>(387342)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C15BA7">
      <w:rPr>
        <w:noProof/>
      </w:rPr>
      <w:t>2</w:t>
    </w:r>
    <w:r>
      <w:fldChar w:fldCharType="end"/>
    </w:r>
  </w:p>
  <w:p w:rsidR="00A066F1" w:rsidRPr="00A066F1" w:rsidRDefault="00187BD9" w:rsidP="00241FA2">
    <w:pPr>
      <w:pStyle w:val="Header"/>
    </w:pPr>
    <w:r>
      <w:t>CMR1</w:t>
    </w:r>
    <w:r w:rsidR="00241FA2">
      <w:t>5</w:t>
    </w:r>
    <w:r w:rsidR="00A066F1">
      <w:t>/</w:t>
    </w:r>
    <w:bookmarkStart w:id="13" w:name="OLE_LINK1"/>
    <w:bookmarkStart w:id="14" w:name="OLE_LINK2"/>
    <w:bookmarkStart w:id="15" w:name="OLE_LINK3"/>
    <w:r w:rsidR="00EB55C6">
      <w:t>32(Add.21)(Add.13)</w:t>
    </w:r>
    <w:bookmarkEnd w:id="13"/>
    <w:bookmarkEnd w:id="14"/>
    <w:bookmarkEnd w:id="15"/>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D42D5"/>
    <w:rsid w:val="000F73FF"/>
    <w:rsid w:val="00114CF7"/>
    <w:rsid w:val="00123B68"/>
    <w:rsid w:val="00126F2E"/>
    <w:rsid w:val="00146F6F"/>
    <w:rsid w:val="001838A7"/>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A1667"/>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062F"/>
    <w:rsid w:val="00741FAB"/>
    <w:rsid w:val="00745AEE"/>
    <w:rsid w:val="00750F10"/>
    <w:rsid w:val="007742CA"/>
    <w:rsid w:val="00790D70"/>
    <w:rsid w:val="007A6F1F"/>
    <w:rsid w:val="007D5320"/>
    <w:rsid w:val="00800972"/>
    <w:rsid w:val="00804475"/>
    <w:rsid w:val="00811633"/>
    <w:rsid w:val="00841216"/>
    <w:rsid w:val="00853271"/>
    <w:rsid w:val="00853562"/>
    <w:rsid w:val="00872FC8"/>
    <w:rsid w:val="008845D0"/>
    <w:rsid w:val="00884D60"/>
    <w:rsid w:val="008B43F2"/>
    <w:rsid w:val="008B6CFF"/>
    <w:rsid w:val="009274B4"/>
    <w:rsid w:val="00933320"/>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5BA7"/>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8680A"/>
    <w:rsid w:val="00F8752C"/>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58E275C-C725-4472-8A56-080A052B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F96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R15-WRC15-C-0032!A21-A13!MSW-E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22037-205B-414B-BD89-171EF519A1EE}">
  <ds:schemaRef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32a1a8c5-2265-4ebc-b7a0-2071e2c5c9bb"/>
    <ds:schemaRef ds:uri="http://purl.org/dc/terms/"/>
    <ds:schemaRef ds:uri="http://schemas.microsoft.com/office/2006/documentManagement/types"/>
    <ds:schemaRef ds:uri="996b2e75-67fd-4955-a3b0-5ab9934cb50b"/>
    <ds:schemaRef ds:uri="http://purl.org/dc/dcmitype/"/>
    <ds:schemaRef ds:uri="http://purl.org/dc/elements/1.1/"/>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4060FC-3C51-4DB4-BC7A-E1D4D8D6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13</TotalTime>
  <Pages>1</Pages>
  <Words>454</Words>
  <Characters>2449</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R15-WRC15-C-0032!A21-A13!MSW-E</vt:lpstr>
    </vt:vector>
  </TitlesOfParts>
  <Manager>General Secretariat - Pool</Manager>
  <Company>International Telecommunication Union (ITU)</Company>
  <LinksUpToDate>false</LinksUpToDate>
  <CharactersWithSpaces>2897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R15-WRC15-C-0032!A21-A13!MSW-E</dc:title>
  <dc:subject>World Radiocommunication Conference - 2015</dc:subject>
  <dc:creator>Documents Proposals Manager (DPM)</dc:creator>
  <cp:keywords>DPM_v5.2015.9.16_prod</cp:keywords>
  <dc:description>Uploaded on 2015.07.06</dc:description>
  <cp:lastModifiedBy>Currie, Jane</cp:lastModifiedBy>
  <cp:revision>7</cp:revision>
  <cp:lastPrinted>2015-10-14T14:59:00Z</cp:lastPrinted>
  <dcterms:created xsi:type="dcterms:W3CDTF">2015-10-09T12:45:00Z</dcterms:created>
  <dcterms:modified xsi:type="dcterms:W3CDTF">2015-10-14T15:00:00Z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