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43773C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43773C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43773C" w:rsidRDefault="003E1608" w:rsidP="00F9642E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43773C">
              <w:rPr>
                <w:rFonts w:ascii="Verdana" w:hAnsi="Verdana"/>
                <w:rtl/>
              </w:rPr>
              <w:t>الإضافة</w:t>
            </w:r>
            <w:r w:rsidR="00F9642E" w:rsidRPr="0043773C">
              <w:rPr>
                <w:rFonts w:ascii="Verdana" w:hAnsi="Verdana" w:hint="eastAsia"/>
                <w:rtl/>
              </w:rPr>
              <w:t> </w:t>
            </w:r>
            <w:r w:rsidRPr="0043773C">
              <w:rPr>
                <w:rFonts w:ascii="Verdana" w:hAnsi="Verdana"/>
              </w:rPr>
              <w:t>11</w:t>
            </w:r>
            <w:r w:rsidRPr="0043773C">
              <w:rPr>
                <w:rFonts w:ascii="Verdana" w:hAnsi="Verdana"/>
              </w:rPr>
              <w:br/>
            </w:r>
            <w:r w:rsidRPr="0043773C">
              <w:rPr>
                <w:rFonts w:ascii="Verdana" w:hAnsi="Verdana"/>
                <w:rtl/>
              </w:rPr>
              <w:t>للوثيقة</w:t>
            </w:r>
            <w:r w:rsidR="00787B42" w:rsidRPr="0043773C">
              <w:rPr>
                <w:rFonts w:ascii="Verdana" w:hAnsi="Verdana" w:hint="eastAsia"/>
                <w:rtl/>
              </w:rPr>
              <w:t> </w:t>
            </w:r>
            <w:r w:rsidRPr="0043773C">
              <w:rPr>
                <w:rFonts w:ascii="Verdana" w:hAnsi="Verdana"/>
              </w:rPr>
              <w:t>32(Add.21)-</w:t>
            </w:r>
            <w:r w:rsidR="00787B42" w:rsidRPr="0043773C">
              <w:rPr>
                <w:rFonts w:ascii="Verdana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43773C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43773C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43773C">
              <w:rPr>
                <w:rFonts w:ascii="Verdana" w:eastAsia="SimSun" w:hAnsi="Verdana"/>
              </w:rPr>
              <w:t>29</w:t>
            </w:r>
            <w:r w:rsidRPr="0043773C">
              <w:rPr>
                <w:rFonts w:ascii="Verdana" w:eastAsia="SimSun" w:hAnsi="Verdana"/>
                <w:rtl/>
              </w:rPr>
              <w:t xml:space="preserve"> سبتمبر </w:t>
            </w:r>
            <w:r w:rsidRPr="0043773C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43773C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43773C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43773C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064060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545E1C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545E1C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CF0082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>البنـد</w:t>
            </w:r>
            <w:r w:rsidR="00787B42">
              <w:rPr>
                <w:rFonts w:hint="cs"/>
                <w:rtl/>
              </w:rPr>
              <w:t> </w:t>
            </w:r>
            <w:r w:rsidR="00CF0082">
              <w:t>(k)7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064060" w:rsidP="0043773C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  <w:t>النظر في أي تغييرات قد يلزم إجراؤها، وفي خيارات أخرى، تطبيقاً للقرار</w:t>
      </w:r>
      <w:r w:rsidR="00CF0082">
        <w:rPr>
          <w:rFonts w:eastAsia="SimSun" w:hint="eastAsia"/>
          <w:rtl/>
        </w:rPr>
        <w:t> </w:t>
      </w:r>
      <w:r w:rsidRPr="00431196">
        <w:rPr>
          <w:rFonts w:eastAsia="SimSun"/>
        </w:rPr>
        <w:t>86</w:t>
      </w:r>
      <w:r w:rsidRPr="00431196">
        <w:rPr>
          <w:rFonts w:eastAsia="SimSun" w:hint="cs"/>
          <w:rtl/>
        </w:rPr>
        <w:t xml:space="preserve"> (المراج</w:t>
      </w:r>
      <w:r w:rsidR="00DC6B44">
        <w:rPr>
          <w:rFonts w:eastAsia="SimSun" w:hint="cs"/>
          <w:rtl/>
        </w:rPr>
        <w:t>َ</w:t>
      </w:r>
      <w:r w:rsidRPr="00431196">
        <w:rPr>
          <w:rFonts w:eastAsia="SimSun" w:hint="cs"/>
          <w:rtl/>
        </w:rPr>
        <w:t xml:space="preserve">ع في مراكش، </w:t>
      </w:r>
      <w:r w:rsidRPr="00431196">
        <w:rPr>
          <w:rFonts w:eastAsia="SimSun"/>
        </w:rPr>
        <w:t>(2002</w:t>
      </w:r>
      <w:r w:rsidRPr="00431196">
        <w:rPr>
          <w:rFonts w:eastAsia="SimSun" w:hint="cs"/>
          <w:rtl/>
        </w:rPr>
        <w:t xml:space="preserve"> لمؤتمر</w:t>
      </w:r>
      <w:r w:rsidR="00CF0082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 xml:space="preserve">المندوبين المفوضين، بشأن "إجراءات النشر المسبق والتنسيق </w:t>
      </w:r>
      <w:r w:rsidRPr="00431196">
        <w:rPr>
          <w:rFonts w:eastAsia="SimSun" w:hint="cs"/>
          <w:spacing w:val="6"/>
          <w:rtl/>
          <w:lang w:bidi="ar-SY"/>
        </w:rPr>
        <w:t>والتبليغ</w:t>
      </w:r>
      <w:r w:rsidRPr="00431196">
        <w:rPr>
          <w:rFonts w:eastAsia="SimSun" w:hint="cs"/>
          <w:rtl/>
        </w:rPr>
        <w:t xml:space="preserve"> والتسجيل لتخصيصات التردد للشبكات الساتلية"، وفقاً للقرار</w:t>
      </w:r>
      <w:r w:rsidR="00CF0082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86 (Rev.WRC</w:t>
      </w:r>
      <w:r w:rsidRPr="00431196">
        <w:rPr>
          <w:rFonts w:eastAsia="SimSun"/>
          <w:b/>
          <w:bCs/>
        </w:rPr>
        <w:noBreakHyphen/>
        <w:t>07)</w:t>
      </w:r>
      <w:r w:rsidRPr="00431196">
        <w:rPr>
          <w:rFonts w:eastAsia="SimSun" w:hint="cs"/>
          <w:rtl/>
        </w:rPr>
        <w:t xml:space="preserve"> تيسيراً للاستخدام الرشيد والفع</w:t>
      </w:r>
      <w:r w:rsidR="002C2A15">
        <w:rPr>
          <w:rFonts w:eastAsia="SimSun" w:hint="cs"/>
          <w:rtl/>
        </w:rPr>
        <w:t>ّ</w:t>
      </w:r>
      <w:r w:rsidRPr="00431196">
        <w:rPr>
          <w:rFonts w:eastAsia="SimSun" w:hint="cs"/>
          <w:rtl/>
        </w:rPr>
        <w:t>ال والاقتصادي للترددات الراديوية وأي مدارات مرتبطة بها، بما</w:t>
      </w:r>
      <w:r w:rsidR="00CF0082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فيها مدار السواتل المستقرة بالنسبة إلى الأرض؛</w:t>
      </w:r>
    </w:p>
    <w:p w:rsidR="00534840" w:rsidRPr="00431196" w:rsidRDefault="00064060" w:rsidP="00CA332F">
      <w:pPr>
        <w:rPr>
          <w:rFonts w:eastAsia="SimSun"/>
          <w:spacing w:val="2"/>
          <w:lang w:bidi="ar-EG"/>
        </w:rPr>
      </w:pPr>
      <w:r w:rsidRPr="00431196">
        <w:rPr>
          <w:rFonts w:eastAsia="SimSun"/>
        </w:rPr>
        <w:t>(K)7</w:t>
      </w:r>
      <w:r w:rsidRPr="00431196">
        <w:rPr>
          <w:rFonts w:eastAsia="SimSun"/>
          <w:lang w:bidi="ar-EG"/>
        </w:rPr>
        <w:tab/>
      </w:r>
      <w:r w:rsidRPr="00431196">
        <w:rPr>
          <w:rFonts w:eastAsia="SimSun" w:hint="cs"/>
          <w:spacing w:val="2"/>
          <w:rtl/>
          <w:lang w:bidi="ar-EG"/>
        </w:rPr>
        <w:t>المسألة</w:t>
      </w:r>
      <w:r w:rsidR="00CF0082">
        <w:rPr>
          <w:rFonts w:eastAsia="SimSun" w:hint="cs"/>
          <w:spacing w:val="2"/>
          <w:rtl/>
          <w:lang w:bidi="ar-EG"/>
        </w:rPr>
        <w:t> </w:t>
      </w:r>
      <w:r w:rsidRPr="00431196">
        <w:rPr>
          <w:rFonts w:eastAsia="SimSun"/>
          <w:spacing w:val="2"/>
          <w:lang w:bidi="ar-SY"/>
        </w:rPr>
        <w:t>K</w:t>
      </w:r>
      <w:r w:rsidRPr="00431196">
        <w:rPr>
          <w:rFonts w:eastAsia="SimSun"/>
          <w:spacing w:val="2"/>
          <w:rtl/>
          <w:lang w:bidi="ar-EG"/>
        </w:rPr>
        <w:t xml:space="preserve"> </w:t>
      </w:r>
      <w:r w:rsidRPr="00431196">
        <w:rPr>
          <w:rFonts w:eastAsia="SimSun" w:hint="cs"/>
          <w:spacing w:val="2"/>
          <w:rtl/>
          <w:lang w:bidi="ar-EG"/>
        </w:rPr>
        <w:t>-</w:t>
      </w:r>
      <w:r w:rsidRPr="00431196">
        <w:rPr>
          <w:rFonts w:eastAsia="SimSun"/>
          <w:spacing w:val="2"/>
          <w:rtl/>
          <w:lang w:bidi="ar-EG"/>
        </w:rPr>
        <w:t xml:space="preserve"> </w:t>
      </w:r>
      <w:r w:rsidRPr="00431196">
        <w:rPr>
          <w:rFonts w:eastAsia="SimSun" w:hint="cs"/>
          <w:spacing w:val="2"/>
          <w:rtl/>
          <w:lang w:bidi="ar-EG"/>
        </w:rPr>
        <w:t>إضافة حكم تنظيمي إلى المادة</w:t>
      </w:r>
      <w:r w:rsidR="00CA332F">
        <w:rPr>
          <w:rFonts w:eastAsia="SimSun" w:hint="eastAsia"/>
          <w:spacing w:val="2"/>
          <w:rtl/>
          <w:lang w:bidi="ar-EG"/>
        </w:rPr>
        <w:t> </w:t>
      </w:r>
      <w:r w:rsidR="00CA332F" w:rsidRPr="00431196">
        <w:rPr>
          <w:rFonts w:eastAsia="SimSun"/>
          <w:b/>
          <w:bCs/>
          <w:spacing w:val="2"/>
          <w:lang w:bidi="ar-EG"/>
        </w:rPr>
        <w:t>11</w:t>
      </w:r>
      <w:r w:rsidRPr="00431196">
        <w:rPr>
          <w:rFonts w:eastAsia="SimSun" w:hint="cs"/>
          <w:spacing w:val="2"/>
          <w:rtl/>
          <w:lang w:bidi="ar-EG"/>
        </w:rPr>
        <w:t xml:space="preserve"> من لوائح الراديو فيما يتعلق بحالة فشل الإطلاق</w:t>
      </w:r>
    </w:p>
    <w:p w:rsidR="00F16602" w:rsidRDefault="00A454A8" w:rsidP="00CF0082">
      <w:pPr>
        <w:pStyle w:val="Headingb"/>
      </w:pPr>
      <w:r>
        <w:rPr>
          <w:rFonts w:hint="cs"/>
          <w:rtl/>
        </w:rPr>
        <w:t>مقدمة</w:t>
      </w:r>
    </w:p>
    <w:p w:rsidR="00CF0082" w:rsidRPr="00566254" w:rsidRDefault="00566254" w:rsidP="00CF0082">
      <w:pPr>
        <w:rPr>
          <w:rtl/>
          <w:lang w:bidi="ar-EG"/>
        </w:rPr>
      </w:pPr>
      <w:r>
        <w:rPr>
          <w:rFonts w:hint="cs"/>
          <w:rtl/>
        </w:rPr>
        <w:t xml:space="preserve">يؤيد أعضاء </w:t>
      </w:r>
      <w:r w:rsidRPr="008204AC">
        <w:rPr>
          <w:rtl/>
        </w:rPr>
        <w:t>جماعة آسيا والمحيط الهادئ للاتصالات</w:t>
      </w:r>
      <w:r>
        <w:rPr>
          <w:rFonts w:hint="cs"/>
          <w:rtl/>
        </w:rPr>
        <w:t xml:space="preserve"> الأسلوب </w:t>
      </w:r>
      <w:r>
        <w:t>K2</w:t>
      </w:r>
      <w:r>
        <w:rPr>
          <w:rFonts w:hint="cs"/>
          <w:rtl/>
        </w:rPr>
        <w:t xml:space="preserve"> بما يتضمنه من نص تنظيمي مقترح وفقاً لما يرد في تقرير الاجتماع التحضيري للمؤتمر.</w:t>
      </w:r>
    </w:p>
    <w:p w:rsidR="00CF0082" w:rsidRDefault="002C2A15" w:rsidP="002C2A15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Pr="00620278" w:rsidRDefault="00064060" w:rsidP="00CF0082">
      <w:pPr>
        <w:pStyle w:val="ArtNo"/>
        <w:rPr>
          <w:rtl/>
        </w:rPr>
      </w:pPr>
      <w:r w:rsidRPr="00620278">
        <w:rPr>
          <w:rtl/>
        </w:rPr>
        <w:lastRenderedPageBreak/>
        <w:t>المـادة</w:t>
      </w:r>
      <w:r w:rsidR="00CF0082">
        <w:rPr>
          <w:rFonts w:hint="cs"/>
          <w:rtl/>
        </w:rPr>
        <w:t> </w:t>
      </w:r>
      <w:r w:rsidRPr="00476D6B">
        <w:rPr>
          <w:rStyle w:val="href"/>
        </w:rPr>
        <w:t>11</w:t>
      </w:r>
    </w:p>
    <w:p w:rsidR="009F37C9" w:rsidRPr="00620278" w:rsidRDefault="00064060" w:rsidP="00D02A9E">
      <w:pPr>
        <w:pStyle w:val="Arttitle"/>
        <w:rPr>
          <w:rtl/>
          <w:lang w:bidi="ar-SY"/>
        </w:rPr>
      </w:pPr>
      <w:bookmarkStart w:id="1" w:name="_Toc331055745"/>
      <w:r w:rsidRPr="00620278">
        <w:rPr>
          <w:rtl/>
        </w:rPr>
        <w:t>التبليغ عن تخصيصات التردد وتسجيلها</w:t>
      </w:r>
      <w:r>
        <w:rPr>
          <w:rStyle w:val="FootnoteReference"/>
          <w:bCs w:val="0"/>
          <w:rtl/>
        </w:rPr>
        <w:t>1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2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3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4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FA51E0">
        <w:rPr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5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FA51E0">
        <w:rPr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6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7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Cs w:val="0"/>
          <w:position w:val="-4"/>
          <w:szCs w:val="28"/>
          <w:vertAlign w:val="superscript"/>
          <w:rtl/>
        </w:rPr>
        <w:t xml:space="preserve"> </w:t>
      </w:r>
      <w:r>
        <w:rPr>
          <w:rStyle w:val="FootnoteReference"/>
          <w:bCs w:val="0"/>
          <w:rtl/>
        </w:rPr>
        <w:t>7</w:t>
      </w:r>
      <w:r w:rsidRPr="00BE0ACE">
        <w:rPr>
          <w:rStyle w:val="FootnoteReference"/>
          <w:rFonts w:ascii="Times New Roman Bold" w:hAnsi="Times New Roman Bold" w:cs="Traditional Arabic"/>
          <w:bCs w:val="0"/>
          <w:i/>
          <w:iCs/>
          <w:rtl/>
        </w:rPr>
        <w:t>مكرراً</w:t>
      </w:r>
      <w:r w:rsidRPr="00B34911"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 w:rsidRPr="000E1A91">
        <w:rPr>
          <w:b w:val="0"/>
          <w:bCs w:val="0"/>
          <w:sz w:val="16"/>
          <w:szCs w:val="16"/>
          <w:lang w:bidi="ar-SA"/>
        </w:rPr>
        <w:t>(WRC</w:t>
      </w:r>
      <w:r w:rsidRPr="000E1A91">
        <w:rPr>
          <w:b w:val="0"/>
          <w:bCs w:val="0"/>
          <w:sz w:val="16"/>
          <w:szCs w:val="16"/>
          <w:lang w:bidi="ar-SA"/>
        </w:rPr>
        <w:sym w:font="Symbol" w:char="F02D"/>
      </w:r>
      <w:r w:rsidRPr="000E1A91">
        <w:rPr>
          <w:b w:val="0"/>
          <w:bCs w:val="0"/>
          <w:sz w:val="16"/>
          <w:szCs w:val="16"/>
          <w:lang w:bidi="ar-SA"/>
        </w:rPr>
        <w:t>12)</w:t>
      </w:r>
      <w:bookmarkEnd w:id="1"/>
      <w:r w:rsidRPr="00F62046">
        <w:rPr>
          <w:b w:val="0"/>
          <w:bCs w:val="0"/>
          <w:sz w:val="18"/>
          <w:lang w:bidi="ar-SA"/>
        </w:rPr>
        <w:t>    </w:t>
      </w:r>
    </w:p>
    <w:p w:rsidR="009F37C9" w:rsidRPr="00B64A52" w:rsidRDefault="00064060" w:rsidP="00314618">
      <w:pPr>
        <w:pStyle w:val="Section1"/>
        <w:rPr>
          <w:rtl/>
        </w:rPr>
      </w:pPr>
      <w:r w:rsidRPr="00B64A52">
        <w:rPr>
          <w:rtl/>
        </w:rPr>
        <w:t xml:space="preserve">القسم </w:t>
      </w:r>
      <w:r w:rsidRPr="00B64A52">
        <w:t>II</w:t>
      </w:r>
      <w:r w:rsidRPr="00B64A52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B64A52">
        <w:rPr>
          <w:rtl/>
        </w:rPr>
        <w:t>-</w:t>
      </w:r>
      <w:r>
        <w:rPr>
          <w:rFonts w:hint="cs"/>
          <w:rtl/>
        </w:rPr>
        <w:t xml:space="preserve"> </w:t>
      </w:r>
      <w:r w:rsidRPr="00B64A52">
        <w:rPr>
          <w:rtl/>
        </w:rPr>
        <w:t xml:space="preserve"> تفحص </w:t>
      </w:r>
      <w:r w:rsidRPr="00CC5067">
        <w:rPr>
          <w:rtl/>
        </w:rPr>
        <w:t>بطاقات</w:t>
      </w:r>
      <w:r w:rsidRPr="00B64A52">
        <w:rPr>
          <w:rtl/>
        </w:rPr>
        <w:t xml:space="preserve"> التبليغ وتسجيل تخصيصات التردد </w:t>
      </w:r>
      <w:r w:rsidRPr="00B64A52">
        <w:rPr>
          <w:rtl/>
        </w:rPr>
        <w:br/>
        <w:t>في السجل الأساسي</w:t>
      </w:r>
    </w:p>
    <w:p w:rsidR="005074B8" w:rsidRDefault="00064060">
      <w:pPr>
        <w:pStyle w:val="Proposal"/>
      </w:pPr>
      <w:r>
        <w:t>ADD</w:t>
      </w:r>
      <w:r>
        <w:tab/>
        <w:t>ASP/32A21A11/1</w:t>
      </w:r>
    </w:p>
    <w:p w:rsidR="005074B8" w:rsidRPr="00A454A8" w:rsidRDefault="004275C9" w:rsidP="0043773C">
      <w:pPr>
        <w:rPr>
          <w:rFonts w:ascii="Times New Roman Bold" w:hAnsi="Times New Roman Bold" w:cs="Times New Roman Bold"/>
          <w:b/>
          <w:szCs w:val="22"/>
          <w:lang w:bidi="ar-EG"/>
        </w:rPr>
      </w:pPr>
      <w:r w:rsidRPr="004275C9">
        <w:rPr>
          <w:rStyle w:val="Artdef"/>
        </w:rPr>
        <w:t>XX</w:t>
      </w:r>
      <w:r w:rsidR="00064060" w:rsidRPr="004275C9">
        <w:rPr>
          <w:rStyle w:val="Artdef"/>
        </w:rPr>
        <w:t>.</w:t>
      </w:r>
      <w:r w:rsidRPr="004275C9">
        <w:rPr>
          <w:rStyle w:val="Artdef"/>
        </w:rPr>
        <w:t>11</w:t>
      </w:r>
      <w:r w:rsidR="00064060" w:rsidRPr="004275C9">
        <w:rPr>
          <w:rStyle w:val="Artdef"/>
        </w:rPr>
        <w:tab/>
      </w:r>
      <w:r w:rsidR="00A454A8">
        <w:rPr>
          <w:rtl/>
          <w:lang w:bidi="ar-EG"/>
        </w:rPr>
        <w:t>في حالة تعطل ساتل أُطلق حديثاً قبل الدخول في فترة الوضع في الخدمة</w:t>
      </w:r>
      <w:r w:rsidR="00566254">
        <w:rPr>
          <w:rFonts w:hint="cs"/>
          <w:rtl/>
          <w:lang w:bidi="ar-EG"/>
        </w:rPr>
        <w:t xml:space="preserve"> البالغة تسعين يوماً</w:t>
      </w:r>
      <w:r w:rsidR="00A454A8">
        <w:rPr>
          <w:rtl/>
          <w:lang w:bidi="ar-EG"/>
        </w:rPr>
        <w:t xml:space="preserve"> أو إعادة </w:t>
      </w:r>
      <w:r w:rsidR="00566254">
        <w:rPr>
          <w:rFonts w:hint="cs"/>
          <w:rtl/>
          <w:lang w:bidi="ar-EG"/>
        </w:rPr>
        <w:t>وضعه في</w:t>
      </w:r>
      <w:r w:rsidR="0043773C">
        <w:rPr>
          <w:rFonts w:hint="eastAsia"/>
          <w:lang w:bidi="ar-EG"/>
        </w:rPr>
        <w:t> </w:t>
      </w:r>
      <w:r w:rsidR="00566254">
        <w:rPr>
          <w:rFonts w:hint="cs"/>
          <w:rtl/>
          <w:lang w:bidi="ar-EG"/>
        </w:rPr>
        <w:t>الخدمة</w:t>
      </w:r>
      <w:r w:rsidR="00A454A8">
        <w:rPr>
          <w:rtl/>
          <w:lang w:bidi="ar-EG"/>
        </w:rPr>
        <w:t>، في الحالة التالية:</w:t>
      </w:r>
    </w:p>
    <w:p w:rsidR="004275C9" w:rsidRDefault="00A24C73" w:rsidP="00566254">
      <w:pPr>
        <w:pStyle w:val="enumlev1"/>
        <w:rPr>
          <w:rtl/>
          <w:lang w:bidi="ar-EG"/>
        </w:rPr>
      </w:pPr>
      <w:r>
        <w:rPr>
          <w:rFonts w:ascii="Traditional Arabic" w:hAnsi="Traditional Arabic" w:hint="cs"/>
          <w:rtl/>
        </w:rPr>
        <w:t>-</w:t>
      </w:r>
      <w:r w:rsidR="004275C9">
        <w:tab/>
      </w:r>
      <w:r w:rsidR="00A454A8">
        <w:rPr>
          <w:rtl/>
        </w:rPr>
        <w:t>تعرض الساتل</w:t>
      </w:r>
      <w:r w:rsidR="00566254">
        <w:rPr>
          <w:rFonts w:hint="cs"/>
          <w:rtl/>
        </w:rPr>
        <w:t xml:space="preserve"> للتدمير</w:t>
      </w:r>
      <w:r w:rsidR="00A454A8">
        <w:rPr>
          <w:rtl/>
        </w:rPr>
        <w:t xml:space="preserve"> </w:t>
      </w:r>
      <w:r w:rsidR="00566254">
        <w:rPr>
          <w:rFonts w:hint="cs"/>
          <w:rtl/>
        </w:rPr>
        <w:t>بعد إطلاقه بغرض</w:t>
      </w:r>
      <w:r w:rsidR="00A454A8">
        <w:rPr>
          <w:rtl/>
        </w:rPr>
        <w:t xml:space="preserve"> وضع التخصيص في الخدمة أو </w:t>
      </w:r>
      <w:r w:rsidR="00566254">
        <w:rPr>
          <w:rtl/>
        </w:rPr>
        <w:t>إعادة وضعه في الخدمة</w:t>
      </w:r>
      <w:r w:rsidR="00A454A8">
        <w:rPr>
          <w:rtl/>
        </w:rPr>
        <w:t>،</w:t>
      </w:r>
    </w:p>
    <w:p w:rsidR="00A454A8" w:rsidRDefault="00A454A8" w:rsidP="00CE4230">
      <w:pPr>
        <w:rPr>
          <w:rFonts w:cs="Times New Roman"/>
          <w:szCs w:val="22"/>
          <w:rtl/>
          <w:lang w:val="ar-SA" w:eastAsia="zh-CN"/>
        </w:rPr>
      </w:pPr>
      <w:r>
        <w:rPr>
          <w:rtl/>
          <w:lang w:val="ar-SA"/>
        </w:rPr>
        <w:t>يجوز للإدارة المبلغة أن تعرض الحالة على اللجنة</w:t>
      </w:r>
      <w:r>
        <w:rPr>
          <w:spacing w:val="-2"/>
          <w:rtl/>
        </w:rPr>
        <w:t xml:space="preserve"> في غضون شهر واحد من فشل الإطلاق، </w:t>
      </w:r>
      <w:r>
        <w:rPr>
          <w:rtl/>
          <w:lang w:val="ar-SA"/>
        </w:rPr>
        <w:t>للنظر فيها وبحثها بدقة، مع مراعاة جميع المواد الداعمة، بما فيها تفاصيل عن الساتل الذي تعطل، وذلك لتمكين اللجنة من اتخاذ قرار بشأن المسألة حسب</w:t>
      </w:r>
      <w:r w:rsidR="00CE4230">
        <w:rPr>
          <w:rFonts w:hint="cs"/>
          <w:rtl/>
          <w:lang w:val="ar-SA"/>
        </w:rPr>
        <w:t> </w:t>
      </w:r>
      <w:r>
        <w:rPr>
          <w:rtl/>
          <w:lang w:val="ar-SA"/>
        </w:rPr>
        <w:t>الاقتضاء.</w:t>
      </w:r>
    </w:p>
    <w:p w:rsidR="00A454A8" w:rsidRDefault="00A454A8" w:rsidP="00566254">
      <w:pPr>
        <w:rPr>
          <w:spacing w:val="-2"/>
          <w:rtl/>
        </w:rPr>
      </w:pPr>
      <w:r>
        <w:rPr>
          <w:rtl/>
          <w:lang w:bidi="ar-SY"/>
        </w:rPr>
        <w:t xml:space="preserve">ولكي تمنح اللجنة أي تمديد، يجب أن يكون فشل الإطلاق قد حدث بعد أربع سنوات على الأقل من تاريخ استلام المعلومات الكاملة بموجب الرقم </w:t>
      </w:r>
      <w:r>
        <w:rPr>
          <w:b/>
          <w:bCs/>
          <w:lang w:bidi="ar-SY"/>
        </w:rPr>
        <w:t>1.9</w:t>
      </w:r>
      <w:r>
        <w:rPr>
          <w:rtl/>
          <w:lang w:bidi="ar-SY"/>
        </w:rPr>
        <w:t xml:space="preserve">، أو يكون قد حدث خلال فترة التعليق بموجب الرقم </w:t>
      </w:r>
      <w:r>
        <w:rPr>
          <w:b/>
          <w:bCs/>
          <w:lang w:bidi="ar-SY"/>
        </w:rPr>
        <w:t>49.11</w:t>
      </w:r>
      <w:r>
        <w:rPr>
          <w:rtl/>
          <w:lang w:bidi="ar-SY"/>
        </w:rPr>
        <w:t>، حسب الاقتضاء. ولا يجوز بأي حال أن تزيد فترة تمديد المهلة التنظيمية</w:t>
      </w:r>
      <w:r w:rsidR="00566254">
        <w:rPr>
          <w:rFonts w:hint="cs"/>
          <w:rtl/>
          <w:lang w:bidi="ar-SY"/>
        </w:rPr>
        <w:t xml:space="preserve"> عن ثلاث سنوات أو</w:t>
      </w:r>
      <w:r>
        <w:rPr>
          <w:rtl/>
          <w:lang w:bidi="ar-SY"/>
        </w:rPr>
        <w:t xml:space="preserve"> عن الفارق الزمني بين فترة ثلاث سنوات والفترة المتبقية من تاريخ فشل الإطلاق حتى نهاية المهلة التنظيمية.</w:t>
      </w:r>
    </w:p>
    <w:p w:rsidR="00A454A8" w:rsidRDefault="00A454A8" w:rsidP="00A454A8">
      <w:pPr>
        <w:rPr>
          <w:lang w:eastAsia="zh-CN" w:bidi="ar-EG"/>
        </w:rPr>
      </w:pPr>
      <w:r>
        <w:rPr>
          <w:rtl/>
          <w:lang w:val="ar-SA"/>
        </w:rPr>
        <w:t>وعند النظر في هذه المسألة، يجوز للجنة أن تحدد على أساس كل حالة على حدة إن كان من الملائم تطبيق أحكام الرقم </w:t>
      </w:r>
      <w:r>
        <w:rPr>
          <w:b/>
          <w:bCs/>
        </w:rPr>
        <w:t>44B.11</w:t>
      </w:r>
      <w:r>
        <w:rPr>
          <w:rtl/>
          <w:lang w:val="ar-SA"/>
        </w:rPr>
        <w:t xml:space="preserve"> </w:t>
      </w:r>
      <w:r>
        <w:rPr>
          <w:rFonts w:hint="cs"/>
          <w:rtl/>
          <w:lang w:val="ar-SA"/>
        </w:rPr>
        <w:t>أو الرقم </w:t>
      </w:r>
      <w:r>
        <w:rPr>
          <w:b/>
          <w:bCs/>
        </w:rPr>
        <w:t>49.11</w:t>
      </w:r>
      <w:r>
        <w:rPr>
          <w:rtl/>
          <w:lang w:val="ar-SA"/>
        </w:rPr>
        <w:t xml:space="preserve"> </w:t>
      </w:r>
      <w:r w:rsidR="00CA332F">
        <w:rPr>
          <w:rFonts w:hint="cs"/>
          <w:rtl/>
          <w:lang w:val="ar-SA"/>
        </w:rPr>
        <w:t xml:space="preserve">من لوائح الراديو </w:t>
      </w:r>
      <w:r>
        <w:rPr>
          <w:rFonts w:hint="cs"/>
          <w:rtl/>
          <w:lang w:val="ar-SA"/>
        </w:rPr>
        <w:t>على تخصيصات التردد المعنية في هذه الحالة.</w:t>
      </w:r>
      <w:r>
        <w:rPr>
          <w:rtl/>
          <w:lang w:val="ar-SA" w:bidi="ar-EG"/>
        </w:rPr>
        <w:t>      </w:t>
      </w:r>
      <w:r>
        <w:rPr>
          <w:rFonts w:cs="Times New Roman"/>
          <w:sz w:val="16"/>
          <w:szCs w:val="16"/>
          <w:lang w:val="en-GB"/>
        </w:rPr>
        <w:t>(WRC</w:t>
      </w:r>
      <w:r>
        <w:rPr>
          <w:rFonts w:cs="Times New Roman"/>
          <w:sz w:val="16"/>
          <w:szCs w:val="16"/>
          <w:lang w:val="en-GB"/>
        </w:rPr>
        <w:noBreakHyphen/>
        <w:t>15)</w:t>
      </w:r>
    </w:p>
    <w:p w:rsidR="004275C9" w:rsidRPr="00A454A8" w:rsidRDefault="00A454A8" w:rsidP="00A454A8">
      <w:pPr>
        <w:pStyle w:val="Note"/>
        <w:rPr>
          <w:b w:val="0"/>
          <w:bCs w:val="0"/>
          <w:i/>
          <w:iCs/>
          <w:rtl/>
          <w:lang w:bidi="ar-SA"/>
        </w:rPr>
      </w:pPr>
      <w:r w:rsidRPr="00A454A8">
        <w:rPr>
          <w:b w:val="0"/>
          <w:bCs w:val="0"/>
          <w:i/>
          <w:iCs/>
          <w:rtl/>
        </w:rPr>
        <w:t xml:space="preserve">ملاحظة: إن إدراج حالات إضافية لفشل الإطلاق هو موضوع للمزيد من المناقشات في المؤتمر </w:t>
      </w:r>
      <w:r w:rsidRPr="00A454A8">
        <w:rPr>
          <w:b w:val="0"/>
          <w:bCs w:val="0"/>
          <w:i/>
          <w:iCs/>
        </w:rPr>
        <w:t>WRC-15</w:t>
      </w:r>
      <w:r w:rsidRPr="00A454A8">
        <w:rPr>
          <w:b w:val="0"/>
          <w:bCs w:val="0"/>
          <w:i/>
          <w:iCs/>
          <w:rtl/>
        </w:rPr>
        <w:t>.</w:t>
      </w:r>
    </w:p>
    <w:p w:rsidR="004275C9" w:rsidRPr="004275C9" w:rsidRDefault="00A454A8" w:rsidP="003D2AB9">
      <w:pPr>
        <w:pStyle w:val="Reasons"/>
        <w:jc w:val="center"/>
        <w:rPr>
          <w:rtl/>
        </w:rPr>
      </w:pPr>
      <w:r>
        <w:rPr>
          <w:rFonts w:hint="cs"/>
          <w:rtl/>
        </w:rPr>
        <w:t>_______</w:t>
      </w:r>
      <w:bookmarkStart w:id="2" w:name="_GoBack"/>
      <w:bookmarkEnd w:id="2"/>
      <w:r>
        <w:rPr>
          <w:rFonts w:hint="cs"/>
          <w:rtl/>
        </w:rPr>
        <w:t>____</w:t>
      </w:r>
    </w:p>
    <w:sectPr w:rsidR="004275C9" w:rsidRPr="004275C9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A454A8" w:rsidRDefault="00281F5F" w:rsidP="00A454A8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A454A8">
      <w:instrText xml:space="preserve"> FILENAME \p \* MERGEFORMAT </w:instrText>
    </w:r>
    <w:r w:rsidRPr="00CB4300">
      <w:fldChar w:fldCharType="separate"/>
    </w:r>
    <w:r w:rsidR="0043773C">
      <w:rPr>
        <w:noProof/>
      </w:rPr>
      <w:t>P:\ARA\ITU-R\CONF-R\CMR15\000\032ADD21ADD11A.docx</w:t>
    </w:r>
    <w:r w:rsidRPr="00CB4300">
      <w:fldChar w:fldCharType="end"/>
    </w:r>
    <w:r w:rsidRPr="00A454A8">
      <w:t xml:space="preserve">  (</w:t>
    </w:r>
    <w:r w:rsidR="00A454A8" w:rsidRPr="00A454A8">
      <w:t>387339</w:t>
    </w:r>
    <w:r w:rsidRPr="00A454A8">
      <w:t>)</w:t>
    </w:r>
    <w:r w:rsidRPr="00A454A8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3D2AB9">
      <w:rPr>
        <w:noProof/>
      </w:rPr>
      <w:t>25.10.15</w:t>
    </w:r>
    <w:r w:rsidRPr="00CB4300">
      <w:fldChar w:fldCharType="end"/>
    </w:r>
    <w:r w:rsidRPr="00A454A8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F0082" w:rsidRDefault="00281F5F" w:rsidP="00CF0082">
    <w:pPr>
      <w:pStyle w:val="Footer"/>
    </w:pPr>
    <w:r>
      <w:fldChar w:fldCharType="begin"/>
    </w:r>
    <w:r w:rsidRPr="00CF0082">
      <w:instrText xml:space="preserve"> FILENAME \p \* MERGEFORMAT </w:instrText>
    </w:r>
    <w:r>
      <w:fldChar w:fldCharType="separate"/>
    </w:r>
    <w:r w:rsidR="0043773C">
      <w:rPr>
        <w:noProof/>
      </w:rPr>
      <w:t>P:\ARA\ITU-R\CONF-R\CMR15\000\032ADD21ADD11A.docx</w:t>
    </w:r>
    <w:r>
      <w:fldChar w:fldCharType="end"/>
    </w:r>
    <w:r w:rsidRPr="00CF0082">
      <w:t xml:space="preserve">   (</w:t>
    </w:r>
    <w:r w:rsidR="00CF0082">
      <w:t>387339</w:t>
    </w:r>
    <w:r w:rsidRPr="00CF0082">
      <w:t>)</w:t>
    </w:r>
    <w:r w:rsidRPr="00CF0082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3D2AB9">
      <w:rPr>
        <w:noProof/>
      </w:rPr>
      <w:t>25.10.15</w:t>
    </w:r>
    <w:r w:rsidRPr="00B12661">
      <w:fldChar w:fldCharType="end"/>
    </w:r>
    <w:r w:rsidRPr="00CF0082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8657C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3D2AB9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32(Add.21)(Add.11)-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64060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C2A15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D2AB9"/>
    <w:rsid w:val="003E02EF"/>
    <w:rsid w:val="003E1608"/>
    <w:rsid w:val="003E1D90"/>
    <w:rsid w:val="00400CD4"/>
    <w:rsid w:val="004147B9"/>
    <w:rsid w:val="00422C04"/>
    <w:rsid w:val="00426144"/>
    <w:rsid w:val="004275C9"/>
    <w:rsid w:val="0043773C"/>
    <w:rsid w:val="00461FA7"/>
    <w:rsid w:val="00470CBD"/>
    <w:rsid w:val="0047407D"/>
    <w:rsid w:val="004909DD"/>
    <w:rsid w:val="004A05E6"/>
    <w:rsid w:val="004A392F"/>
    <w:rsid w:val="004A6C66"/>
    <w:rsid w:val="004A7AA0"/>
    <w:rsid w:val="004C11BC"/>
    <w:rsid w:val="004D4AE6"/>
    <w:rsid w:val="004E34FA"/>
    <w:rsid w:val="00505FCA"/>
    <w:rsid w:val="005074B8"/>
    <w:rsid w:val="00510C2D"/>
    <w:rsid w:val="005169F4"/>
    <w:rsid w:val="005210D1"/>
    <w:rsid w:val="00523146"/>
    <w:rsid w:val="00523275"/>
    <w:rsid w:val="00531DC7"/>
    <w:rsid w:val="005350B0"/>
    <w:rsid w:val="00545E1C"/>
    <w:rsid w:val="00546A99"/>
    <w:rsid w:val="00553411"/>
    <w:rsid w:val="00554AE7"/>
    <w:rsid w:val="00557F74"/>
    <w:rsid w:val="00564746"/>
    <w:rsid w:val="0056512C"/>
    <w:rsid w:val="00566254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87B42"/>
    <w:rsid w:val="007A0802"/>
    <w:rsid w:val="007B1FCA"/>
    <w:rsid w:val="007C2C12"/>
    <w:rsid w:val="007C3CFA"/>
    <w:rsid w:val="007D76E5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4C73"/>
    <w:rsid w:val="00A26758"/>
    <w:rsid w:val="00A26D0E"/>
    <w:rsid w:val="00A278E9"/>
    <w:rsid w:val="00A3451F"/>
    <w:rsid w:val="00A36268"/>
    <w:rsid w:val="00A40B2C"/>
    <w:rsid w:val="00A454A8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0ACE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A332F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4230"/>
    <w:rsid w:val="00CE5BA4"/>
    <w:rsid w:val="00CF0082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6B44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9642E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3EF6BFB9-B995-45AD-B3A2-B2D9F81E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R15-WRC15-C-0032!A21-A11!MSW-A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41BC97-709C-4478-A2A1-7DA4BF6F3AE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B897C7D-4007-4A18-B582-4AFA6D96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R15-WRC15-C-0032!A21-A11!MSW-A</vt:lpstr>
    </vt:vector>
  </TitlesOfParts>
  <Manager>General Secretariat - Pool</Manager>
  <Company>International Telecommunication Union (ITU)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R15-WRC15-C-0032!A21-A11!MSW-A</dc:title>
  <dc:creator>Documents Proposals Manager (DPM)</dc:creator>
  <cp:keywords>DPM_v5.2015.9.16_prod</cp:keywords>
  <cp:lastModifiedBy>Murphy, Margaret</cp:lastModifiedBy>
  <cp:revision>6</cp:revision>
  <cp:lastPrinted>2011-11-07T13:53:00Z</cp:lastPrinted>
  <dcterms:created xsi:type="dcterms:W3CDTF">2015-10-25T15:35:00Z</dcterms:created>
  <dcterms:modified xsi:type="dcterms:W3CDTF">2015-10-25T17:15:00Z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