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0" w:name="ditulogo"/>
            <w:bookmarkEnd w:id="0"/>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1"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21 to</w:t>
            </w:r>
            <w:r>
              <w:rPr>
                <w:rFonts w:ascii="Verdana" w:eastAsia="SimSun" w:hAnsi="Verdana" w:cs="Traditional Arabic"/>
                <w:b/>
                <w:sz w:val="20"/>
              </w:rPr>
              <w:br/>
              <w:t>Document 32</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29 September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Asia-Pacific Telecommunity Common Proposals</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w:t>
            </w:r>
          </w:p>
        </w:tc>
      </w:tr>
    </w:tbl>
    <w:bookmarkEnd w:id="6"/>
    <w:bookmarkEnd w:id="7"/>
    <w:p w:rsidR="00B02325" w:rsidRPr="000002F2" w:rsidRDefault="00F23167" w:rsidP="001C7D70">
      <w:pPr>
        <w:overflowPunct/>
        <w:autoSpaceDE/>
        <w:autoSpaceDN/>
        <w:adjustRightInd/>
        <w:textAlignment w:val="auto"/>
      </w:pPr>
      <w:r w:rsidRPr="009A2B70">
        <w:t>7</w:t>
      </w:r>
      <w:r w:rsidRPr="009A2B70">
        <w:tab/>
      </w:r>
      <w:r w:rsidRPr="009A2B70">
        <w:t>to consider possible changes, and other options, in response to Resolution 86 (Rev. Marrakesh, 2002) of the Plenipotentiary Conference, an advance publication, coordination, notification and recording procedures for frequency assignments pertaining to sate</w:t>
      </w:r>
      <w:r w:rsidRPr="009A2B70">
        <w:t xml:space="preserv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5F4FF3" w:rsidRPr="00B006D9" w:rsidRDefault="005F4FF3" w:rsidP="00187BD9">
      <w:pPr>
        <w:tabs>
          <w:tab w:val="clear" w:pos="1134"/>
          <w:tab w:val="clear" w:pos="1871"/>
          <w:tab w:val="clear" w:pos="2268"/>
        </w:tabs>
        <w:overflowPunct/>
        <w:autoSpaceDE/>
        <w:autoSpaceDN/>
        <w:adjustRightInd/>
        <w:spacing w:before="0"/>
        <w:textAlignment w:val="auto"/>
      </w:pPr>
    </w:p>
    <w:p w:rsidR="005F4FF3" w:rsidRDefault="005F4FF3" w:rsidP="00F23167">
      <w:pPr>
        <w:overflowPunct/>
        <w:autoSpaceDE/>
        <w:autoSpaceDN/>
        <w:adjustRightInd/>
        <w:textAlignment w:val="auto"/>
      </w:pPr>
      <w:r w:rsidRPr="00E47FF2">
        <w:rPr>
          <w:lang w:val="en-US"/>
        </w:rPr>
        <w:t>APT Common Proposals</w:t>
      </w:r>
      <w:r>
        <w:rPr>
          <w:lang w:val="en-US"/>
        </w:rPr>
        <w:t xml:space="preserve"> (ACPs) for agenda item 7</w:t>
      </w:r>
      <w:r w:rsidRPr="00E47FF2">
        <w:rPr>
          <w:lang w:val="en-US"/>
        </w:rPr>
        <w:t xml:space="preserve"> can be found in the following addenda</w:t>
      </w:r>
      <w:r>
        <w:t xml:space="preserve"> to this document</w:t>
      </w:r>
      <w:r w:rsidR="00F23167">
        <w:rPr>
          <w:lang w:val="en-US"/>
        </w:rPr>
        <w:t>,</w:t>
      </w:r>
      <w:r w:rsidRPr="00E47FF2">
        <w:rPr>
          <w:lang w:val="en-US"/>
        </w:rPr>
        <w:t xml:space="preserve"> </w:t>
      </w:r>
      <w:r>
        <w:t>as listed in the table below:</w:t>
      </w:r>
    </w:p>
    <w:p w:rsidR="005F4FF3" w:rsidRDefault="005F4FF3" w:rsidP="005105CB">
      <w:pPr>
        <w:tabs>
          <w:tab w:val="clear" w:pos="1134"/>
          <w:tab w:val="clear" w:pos="1871"/>
          <w:tab w:val="clear" w:pos="2268"/>
        </w:tabs>
        <w:overflowPunct/>
        <w:autoSpaceDE/>
        <w:autoSpaceDN/>
        <w:adjustRightInd/>
        <w:spacing w:before="0"/>
        <w:textAlignment w:val="auto"/>
      </w:pPr>
    </w:p>
    <w:tbl>
      <w:tblPr>
        <w:tblStyle w:val="TableGrid"/>
        <w:tblW w:w="0" w:type="auto"/>
        <w:tblLook w:val="04A0" w:firstRow="1" w:lastRow="0" w:firstColumn="1" w:lastColumn="0" w:noHBand="0" w:noVBand="1"/>
      </w:tblPr>
      <w:tblGrid>
        <w:gridCol w:w="846"/>
        <w:gridCol w:w="5670"/>
        <w:gridCol w:w="1559"/>
        <w:gridCol w:w="1554"/>
      </w:tblGrid>
      <w:tr w:rsidR="005F4FF3" w:rsidTr="00F23167">
        <w:trPr>
          <w:tblHeader/>
        </w:trPr>
        <w:tc>
          <w:tcPr>
            <w:tcW w:w="846" w:type="dxa"/>
          </w:tcPr>
          <w:p w:rsidR="005F4FF3" w:rsidRDefault="005F4FF3" w:rsidP="00F23167">
            <w:pPr>
              <w:pStyle w:val="Tablehead"/>
            </w:pPr>
            <w:r>
              <w:t>Issues</w:t>
            </w:r>
          </w:p>
        </w:tc>
        <w:tc>
          <w:tcPr>
            <w:tcW w:w="5670" w:type="dxa"/>
          </w:tcPr>
          <w:p w:rsidR="005F4FF3" w:rsidRDefault="005F4FF3" w:rsidP="00F23167">
            <w:pPr>
              <w:pStyle w:val="Tablehead"/>
            </w:pPr>
            <w:r>
              <w:t>Title</w:t>
            </w:r>
          </w:p>
        </w:tc>
        <w:tc>
          <w:tcPr>
            <w:tcW w:w="1559" w:type="dxa"/>
          </w:tcPr>
          <w:p w:rsidR="005F4FF3" w:rsidRDefault="005F4FF3" w:rsidP="00F23167">
            <w:pPr>
              <w:pStyle w:val="Tablehead"/>
            </w:pPr>
            <w:r>
              <w:t>Addendum No.</w:t>
            </w:r>
          </w:p>
        </w:tc>
        <w:tc>
          <w:tcPr>
            <w:tcW w:w="1554" w:type="dxa"/>
          </w:tcPr>
          <w:p w:rsidR="005F4FF3" w:rsidRDefault="005F4FF3" w:rsidP="00F23167">
            <w:pPr>
              <w:pStyle w:val="Tablehead"/>
            </w:pPr>
            <w:r>
              <w:t>ACP No.</w:t>
            </w:r>
          </w:p>
        </w:tc>
      </w:tr>
      <w:tr w:rsidR="005F4FF3" w:rsidTr="00F23167">
        <w:tc>
          <w:tcPr>
            <w:tcW w:w="846" w:type="dxa"/>
          </w:tcPr>
          <w:p w:rsidR="005F4FF3" w:rsidRDefault="005F4FF3" w:rsidP="00F23167">
            <w:pPr>
              <w:pStyle w:val="Tabletext"/>
              <w:jc w:val="center"/>
            </w:pPr>
            <w:r>
              <w:t>A</w:t>
            </w:r>
          </w:p>
        </w:tc>
        <w:tc>
          <w:tcPr>
            <w:tcW w:w="5670" w:type="dxa"/>
          </w:tcPr>
          <w:p w:rsidR="005F4FF3" w:rsidRPr="008F3DBB" w:rsidRDefault="005F4FF3" w:rsidP="00F23167">
            <w:pPr>
              <w:pStyle w:val="Tabletext"/>
              <w:rPr>
                <w:lang w:val="en-US"/>
              </w:rPr>
            </w:pPr>
            <w:r w:rsidRPr="00726398">
              <w:rPr>
                <w:lang w:val="en-US"/>
              </w:rPr>
              <w:t>Issue A – Informing the Bureau of a suspension under RR No.</w:t>
            </w:r>
            <w:r w:rsidR="00F23167">
              <w:rPr>
                <w:lang w:val="en-US"/>
              </w:rPr>
              <w:t> </w:t>
            </w:r>
            <w:r w:rsidRPr="00726398">
              <w:rPr>
                <w:lang w:val="en-US"/>
              </w:rPr>
              <w:t>11.49</w:t>
            </w:r>
            <w:r>
              <w:rPr>
                <w:lang w:val="en-US"/>
              </w:rPr>
              <w:t xml:space="preserve"> </w:t>
            </w:r>
            <w:r w:rsidRPr="00726398">
              <w:rPr>
                <w:lang w:val="en-US"/>
              </w:rPr>
              <w:t xml:space="preserve">beyond six months </w:t>
            </w:r>
          </w:p>
        </w:tc>
        <w:tc>
          <w:tcPr>
            <w:tcW w:w="1559" w:type="dxa"/>
          </w:tcPr>
          <w:p w:rsidR="005F4FF3" w:rsidRDefault="005F4FF3" w:rsidP="00F23167">
            <w:pPr>
              <w:pStyle w:val="Tabletext"/>
              <w:jc w:val="center"/>
            </w:pPr>
            <w:r>
              <w:t>A21-A1</w:t>
            </w:r>
          </w:p>
        </w:tc>
        <w:tc>
          <w:tcPr>
            <w:tcW w:w="1554" w:type="dxa"/>
          </w:tcPr>
          <w:p w:rsidR="005F4FF3" w:rsidRDefault="005F4FF3" w:rsidP="00F23167">
            <w:pPr>
              <w:pStyle w:val="Tabletext"/>
              <w:jc w:val="center"/>
            </w:pPr>
            <w:r>
              <w:t>A21-A1/1 and 2</w:t>
            </w:r>
          </w:p>
        </w:tc>
      </w:tr>
      <w:tr w:rsidR="005F4FF3" w:rsidTr="00F23167">
        <w:tc>
          <w:tcPr>
            <w:tcW w:w="846" w:type="dxa"/>
          </w:tcPr>
          <w:p w:rsidR="005F4FF3" w:rsidRDefault="005F4FF3" w:rsidP="00F23167">
            <w:pPr>
              <w:pStyle w:val="Tabletext"/>
              <w:jc w:val="center"/>
            </w:pPr>
            <w:r>
              <w:t>B</w:t>
            </w:r>
          </w:p>
        </w:tc>
        <w:tc>
          <w:tcPr>
            <w:tcW w:w="5670" w:type="dxa"/>
          </w:tcPr>
          <w:p w:rsidR="005F4FF3" w:rsidRDefault="005F4FF3" w:rsidP="00F23167">
            <w:pPr>
              <w:pStyle w:val="Tabletext"/>
            </w:pPr>
            <w:r w:rsidRPr="00E4556C">
              <w:rPr>
                <w:rFonts w:eastAsiaTheme="minorEastAsia"/>
                <w:snapToGrid w:val="0"/>
                <w:lang w:eastAsia="ja-JP"/>
              </w:rPr>
              <w:t xml:space="preserve">Issue B </w:t>
            </w:r>
            <w:r w:rsidRPr="00726398">
              <w:rPr>
                <w:lang w:val="en-US"/>
              </w:rPr>
              <w:t>–</w:t>
            </w:r>
            <w:r w:rsidRPr="00E4556C">
              <w:rPr>
                <w:rFonts w:eastAsiaTheme="minorEastAsia"/>
                <w:snapToGrid w:val="0"/>
                <w:lang w:eastAsia="ja-JP"/>
              </w:rPr>
              <w:t xml:space="preserve"> Publication of information on </w:t>
            </w:r>
            <w:r w:rsidRPr="00E4556C">
              <w:rPr>
                <w:rFonts w:eastAsiaTheme="minorEastAsia" w:hint="eastAsia"/>
                <w:snapToGrid w:val="0"/>
                <w:lang w:eastAsia="ja-JP"/>
              </w:rPr>
              <w:t>BIU</w:t>
            </w:r>
            <w:r w:rsidRPr="00E4556C">
              <w:rPr>
                <w:rFonts w:eastAsiaTheme="minorEastAsia"/>
                <w:snapToGrid w:val="0"/>
                <w:lang w:eastAsia="ja-JP"/>
              </w:rPr>
              <w:t xml:space="preserve"> of satellite networks at the ITU website</w:t>
            </w:r>
          </w:p>
        </w:tc>
        <w:tc>
          <w:tcPr>
            <w:tcW w:w="1559" w:type="dxa"/>
          </w:tcPr>
          <w:p w:rsidR="005F4FF3" w:rsidRDefault="005F4FF3" w:rsidP="00F23167">
            <w:pPr>
              <w:pStyle w:val="Tabletext"/>
              <w:jc w:val="center"/>
            </w:pPr>
            <w:r>
              <w:t>A21-A2</w:t>
            </w:r>
          </w:p>
        </w:tc>
        <w:tc>
          <w:tcPr>
            <w:tcW w:w="1554" w:type="dxa"/>
          </w:tcPr>
          <w:p w:rsidR="005F4FF3" w:rsidRDefault="005F4FF3" w:rsidP="00F23167">
            <w:pPr>
              <w:pStyle w:val="Tabletext"/>
              <w:jc w:val="center"/>
            </w:pPr>
            <w:r>
              <w:t>A21-A2/1 to 3</w:t>
            </w:r>
          </w:p>
        </w:tc>
      </w:tr>
      <w:tr w:rsidR="005F4FF3" w:rsidTr="00F23167">
        <w:tc>
          <w:tcPr>
            <w:tcW w:w="846" w:type="dxa"/>
          </w:tcPr>
          <w:p w:rsidR="005F4FF3" w:rsidRDefault="005F4FF3" w:rsidP="00F23167">
            <w:pPr>
              <w:pStyle w:val="Tabletext"/>
              <w:jc w:val="center"/>
            </w:pPr>
            <w:r>
              <w:t>D</w:t>
            </w:r>
          </w:p>
        </w:tc>
        <w:tc>
          <w:tcPr>
            <w:tcW w:w="5670" w:type="dxa"/>
          </w:tcPr>
          <w:p w:rsidR="005F4FF3" w:rsidRDefault="005F4FF3" w:rsidP="00F23167">
            <w:pPr>
              <w:pStyle w:val="Tabletext"/>
            </w:pPr>
            <w:r w:rsidRPr="00E4556C">
              <w:rPr>
                <w:rFonts w:eastAsiaTheme="minorEastAsia"/>
                <w:snapToGrid w:val="0"/>
                <w:lang w:eastAsia="ja-JP"/>
              </w:rPr>
              <w:t xml:space="preserve">Issue D </w:t>
            </w:r>
            <w:r w:rsidRPr="00726398">
              <w:rPr>
                <w:lang w:val="en-US"/>
              </w:rPr>
              <w:t>–</w:t>
            </w:r>
            <w:r w:rsidRPr="00E4556C">
              <w:rPr>
                <w:rFonts w:eastAsiaTheme="minorEastAsia"/>
                <w:snapToGrid w:val="0"/>
                <w:lang w:eastAsia="ja-JP"/>
              </w:rPr>
              <w:t xml:space="preserve"> General use of modern electronic means of comm</w:t>
            </w:r>
            <w:r w:rsidR="00F23167">
              <w:rPr>
                <w:rFonts w:eastAsiaTheme="minorEastAsia" w:hint="eastAsia"/>
                <w:snapToGrid w:val="0"/>
                <w:lang w:eastAsia="ja-JP"/>
              </w:rPr>
              <w:t>unication</w:t>
            </w:r>
            <w:r w:rsidRPr="00E4556C">
              <w:rPr>
                <w:rFonts w:eastAsiaTheme="minorEastAsia"/>
                <w:snapToGrid w:val="0"/>
                <w:lang w:eastAsia="ja-JP"/>
              </w:rPr>
              <w:t xml:space="preserve"> in coordination and notification procedures</w:t>
            </w:r>
          </w:p>
        </w:tc>
        <w:tc>
          <w:tcPr>
            <w:tcW w:w="1559" w:type="dxa"/>
          </w:tcPr>
          <w:p w:rsidR="005F4FF3" w:rsidRDefault="005F4FF3" w:rsidP="00F23167">
            <w:pPr>
              <w:pStyle w:val="Tabletext"/>
              <w:jc w:val="center"/>
            </w:pPr>
            <w:r>
              <w:t>A21-A4</w:t>
            </w:r>
          </w:p>
        </w:tc>
        <w:tc>
          <w:tcPr>
            <w:tcW w:w="1554" w:type="dxa"/>
          </w:tcPr>
          <w:p w:rsidR="005F4FF3" w:rsidRDefault="005F4FF3" w:rsidP="00F23167">
            <w:pPr>
              <w:pStyle w:val="Tabletext"/>
              <w:jc w:val="center"/>
            </w:pPr>
            <w:r>
              <w:t>A21-A4/1 and 2</w:t>
            </w:r>
          </w:p>
        </w:tc>
      </w:tr>
      <w:tr w:rsidR="005F4FF3" w:rsidTr="00F23167">
        <w:tc>
          <w:tcPr>
            <w:tcW w:w="846" w:type="dxa"/>
          </w:tcPr>
          <w:p w:rsidR="005F4FF3" w:rsidRDefault="005F4FF3" w:rsidP="00F23167">
            <w:pPr>
              <w:pStyle w:val="Tabletext"/>
              <w:jc w:val="center"/>
            </w:pPr>
            <w:r>
              <w:t>E</w:t>
            </w:r>
          </w:p>
        </w:tc>
        <w:tc>
          <w:tcPr>
            <w:tcW w:w="5670" w:type="dxa"/>
          </w:tcPr>
          <w:p w:rsidR="005F4FF3" w:rsidRDefault="005F4FF3" w:rsidP="00F23167">
            <w:pPr>
              <w:pStyle w:val="Tabletext"/>
            </w:pPr>
            <w:r w:rsidRPr="0083192B">
              <w:rPr>
                <w:rFonts w:eastAsiaTheme="minorEastAsia"/>
                <w:snapToGrid w:val="0"/>
                <w:lang w:eastAsia="ja-JP"/>
              </w:rPr>
              <w:t xml:space="preserve">Issue E </w:t>
            </w:r>
            <w:r w:rsidRPr="00726398">
              <w:rPr>
                <w:lang w:val="en-US"/>
              </w:rPr>
              <w:t>–</w:t>
            </w:r>
            <w:r w:rsidRPr="0083192B">
              <w:rPr>
                <w:rFonts w:eastAsiaTheme="minorEastAsia"/>
                <w:snapToGrid w:val="0"/>
                <w:lang w:eastAsia="ja-JP"/>
              </w:rPr>
              <w:t xml:space="preserve"> Failure of a satellite during the ninety-day </w:t>
            </w:r>
            <w:r w:rsidRPr="0083192B">
              <w:rPr>
                <w:rFonts w:eastAsiaTheme="minorEastAsia" w:hint="eastAsia"/>
                <w:snapToGrid w:val="0"/>
                <w:lang w:eastAsia="ja-JP"/>
              </w:rPr>
              <w:t>BIU</w:t>
            </w:r>
            <w:r w:rsidRPr="0083192B">
              <w:rPr>
                <w:rFonts w:eastAsiaTheme="minorEastAsia"/>
                <w:snapToGrid w:val="0"/>
                <w:lang w:eastAsia="ja-JP"/>
              </w:rPr>
              <w:t xml:space="preserve"> period</w:t>
            </w:r>
          </w:p>
        </w:tc>
        <w:tc>
          <w:tcPr>
            <w:tcW w:w="1559" w:type="dxa"/>
          </w:tcPr>
          <w:p w:rsidR="005F4FF3" w:rsidRDefault="005F4FF3" w:rsidP="00F23167">
            <w:pPr>
              <w:pStyle w:val="Tabletext"/>
              <w:jc w:val="center"/>
            </w:pPr>
            <w:r>
              <w:t>A21-A5</w:t>
            </w:r>
          </w:p>
        </w:tc>
        <w:tc>
          <w:tcPr>
            <w:tcW w:w="1554" w:type="dxa"/>
          </w:tcPr>
          <w:p w:rsidR="005F4FF3" w:rsidRDefault="005F4FF3" w:rsidP="00F23167">
            <w:pPr>
              <w:pStyle w:val="Tabletext"/>
              <w:jc w:val="center"/>
            </w:pPr>
            <w:r>
              <w:t>A21-A5/1</w:t>
            </w:r>
          </w:p>
        </w:tc>
      </w:tr>
      <w:tr w:rsidR="005F4FF3" w:rsidTr="00F23167">
        <w:tc>
          <w:tcPr>
            <w:tcW w:w="846" w:type="dxa"/>
          </w:tcPr>
          <w:p w:rsidR="005F4FF3" w:rsidRDefault="005F4FF3" w:rsidP="00F23167">
            <w:pPr>
              <w:pStyle w:val="Tabletext"/>
              <w:jc w:val="center"/>
            </w:pPr>
            <w:r>
              <w:t>F</w:t>
            </w:r>
          </w:p>
        </w:tc>
        <w:tc>
          <w:tcPr>
            <w:tcW w:w="5670" w:type="dxa"/>
          </w:tcPr>
          <w:p w:rsidR="005F4FF3" w:rsidRDefault="005F4FF3" w:rsidP="00F23167">
            <w:pPr>
              <w:pStyle w:val="Tabletext"/>
            </w:pPr>
            <w:r w:rsidRPr="0083192B">
              <w:rPr>
                <w:rFonts w:eastAsiaTheme="minorEastAsia"/>
                <w:snapToGrid w:val="0"/>
                <w:lang w:eastAsia="ja-JP"/>
              </w:rPr>
              <w:t>Issue F</w:t>
            </w:r>
            <w:r>
              <w:rPr>
                <w:rFonts w:eastAsiaTheme="minorEastAsia"/>
                <w:snapToGrid w:val="0"/>
                <w:lang w:eastAsia="ja-JP"/>
              </w:rPr>
              <w:t xml:space="preserve"> </w:t>
            </w:r>
            <w:r w:rsidRPr="00726398">
              <w:rPr>
                <w:lang w:val="en-US"/>
              </w:rPr>
              <w:t>–</w:t>
            </w:r>
            <w:r>
              <w:rPr>
                <w:lang w:val="en-US"/>
              </w:rPr>
              <w:t xml:space="preserve"> </w:t>
            </w:r>
            <w:r w:rsidRPr="0083192B">
              <w:rPr>
                <w:rFonts w:eastAsiaTheme="minorEastAsia"/>
                <w:snapToGrid w:val="0"/>
                <w:lang w:eastAsia="ja-JP"/>
              </w:rPr>
              <w:t>Modifications to RR A</w:t>
            </w:r>
            <w:r w:rsidRPr="0083192B">
              <w:rPr>
                <w:rFonts w:eastAsiaTheme="minorEastAsia" w:hint="eastAsia"/>
                <w:snapToGrid w:val="0"/>
                <w:lang w:eastAsia="ja-JP"/>
              </w:rPr>
              <w:t>P</w:t>
            </w:r>
            <w:r w:rsidRPr="0083192B">
              <w:rPr>
                <w:rFonts w:eastAsiaTheme="minorEastAsia"/>
                <w:snapToGrid w:val="0"/>
                <w:lang w:eastAsia="ja-JP"/>
              </w:rPr>
              <w:t xml:space="preserve"> 30B in relation to the</w:t>
            </w:r>
            <w:r w:rsidR="00F23167">
              <w:rPr>
                <w:rFonts w:eastAsiaTheme="minorEastAsia"/>
                <w:snapToGrid w:val="0"/>
                <w:lang w:eastAsia="ja-JP"/>
              </w:rPr>
              <w:t xml:space="preserve"> </w:t>
            </w:r>
            <w:r w:rsidRPr="0083192B">
              <w:rPr>
                <w:rFonts w:eastAsiaTheme="minorEastAsia"/>
                <w:snapToGrid w:val="0"/>
                <w:lang w:eastAsia="ja-JP"/>
              </w:rPr>
              <w:t>suspension of use of a frequency assignment recorded in the MIFR</w:t>
            </w:r>
          </w:p>
        </w:tc>
        <w:tc>
          <w:tcPr>
            <w:tcW w:w="1559" w:type="dxa"/>
          </w:tcPr>
          <w:p w:rsidR="005F4FF3" w:rsidRDefault="005F4FF3" w:rsidP="00F23167">
            <w:pPr>
              <w:pStyle w:val="Tabletext"/>
              <w:jc w:val="center"/>
            </w:pPr>
            <w:r>
              <w:t>A21-A6</w:t>
            </w:r>
          </w:p>
        </w:tc>
        <w:tc>
          <w:tcPr>
            <w:tcW w:w="1554" w:type="dxa"/>
          </w:tcPr>
          <w:p w:rsidR="005F4FF3" w:rsidRDefault="005F4FF3" w:rsidP="00F23167">
            <w:pPr>
              <w:pStyle w:val="Tabletext"/>
              <w:jc w:val="center"/>
            </w:pPr>
            <w:r>
              <w:t>A21-A6/1 to 3</w:t>
            </w:r>
          </w:p>
        </w:tc>
      </w:tr>
      <w:tr w:rsidR="005F4FF3" w:rsidTr="00F23167">
        <w:tc>
          <w:tcPr>
            <w:tcW w:w="846" w:type="dxa"/>
          </w:tcPr>
          <w:p w:rsidR="005F4FF3" w:rsidRDefault="005F4FF3" w:rsidP="00F23167">
            <w:pPr>
              <w:pStyle w:val="Tabletext"/>
              <w:jc w:val="center"/>
            </w:pPr>
            <w:r>
              <w:t>G</w:t>
            </w:r>
          </w:p>
        </w:tc>
        <w:tc>
          <w:tcPr>
            <w:tcW w:w="5670" w:type="dxa"/>
          </w:tcPr>
          <w:p w:rsidR="005F4FF3" w:rsidRDefault="005F4FF3" w:rsidP="00F23167">
            <w:pPr>
              <w:pStyle w:val="Tabletext"/>
            </w:pPr>
            <w:r w:rsidRPr="0083192B">
              <w:rPr>
                <w:rFonts w:eastAsiaTheme="minorEastAsia"/>
                <w:snapToGrid w:val="0"/>
                <w:lang w:eastAsia="ja-JP"/>
              </w:rPr>
              <w:t xml:space="preserve">Issue </w:t>
            </w:r>
            <w:r>
              <w:rPr>
                <w:rFonts w:eastAsiaTheme="minorEastAsia"/>
                <w:snapToGrid w:val="0"/>
                <w:lang w:eastAsia="ja-JP"/>
              </w:rPr>
              <w:t>G</w:t>
            </w:r>
            <w:r w:rsidRPr="0083192B">
              <w:rPr>
                <w:rFonts w:eastAsiaTheme="minorEastAsia"/>
                <w:snapToGrid w:val="0"/>
                <w:lang w:eastAsia="ja-JP"/>
              </w:rPr>
              <w:t xml:space="preserve"> </w:t>
            </w:r>
            <w:r w:rsidRPr="00726398">
              <w:rPr>
                <w:lang w:val="en-US"/>
              </w:rPr>
              <w:t>–</w:t>
            </w:r>
            <w:r>
              <w:rPr>
                <w:rFonts w:eastAsiaTheme="minorEastAsia"/>
                <w:snapToGrid w:val="0"/>
                <w:lang w:eastAsia="ja-JP"/>
              </w:rPr>
              <w:t xml:space="preserve"> Clarification of bringing into use information provided under RR No. 11.44/11.44B</w:t>
            </w:r>
          </w:p>
        </w:tc>
        <w:tc>
          <w:tcPr>
            <w:tcW w:w="1559" w:type="dxa"/>
          </w:tcPr>
          <w:p w:rsidR="005F4FF3" w:rsidRDefault="005F4FF3" w:rsidP="00F23167">
            <w:pPr>
              <w:pStyle w:val="Tabletext"/>
              <w:jc w:val="center"/>
            </w:pPr>
            <w:r>
              <w:t>A21-A7</w:t>
            </w:r>
          </w:p>
        </w:tc>
        <w:tc>
          <w:tcPr>
            <w:tcW w:w="1554" w:type="dxa"/>
          </w:tcPr>
          <w:p w:rsidR="005F4FF3" w:rsidRDefault="005F4FF3" w:rsidP="00F23167">
            <w:pPr>
              <w:pStyle w:val="Tabletext"/>
              <w:jc w:val="center"/>
            </w:pPr>
            <w:r>
              <w:t>A21-A7/1 to 3</w:t>
            </w:r>
          </w:p>
        </w:tc>
      </w:tr>
      <w:tr w:rsidR="005F4FF3" w:rsidTr="00F23167">
        <w:tc>
          <w:tcPr>
            <w:tcW w:w="846" w:type="dxa"/>
          </w:tcPr>
          <w:p w:rsidR="005F4FF3" w:rsidRDefault="005F4FF3" w:rsidP="00F23167">
            <w:pPr>
              <w:pStyle w:val="Tabletext"/>
              <w:jc w:val="center"/>
            </w:pPr>
            <w:r>
              <w:t>I</w:t>
            </w:r>
          </w:p>
        </w:tc>
        <w:tc>
          <w:tcPr>
            <w:tcW w:w="5670" w:type="dxa"/>
          </w:tcPr>
          <w:p w:rsidR="005F4FF3" w:rsidRDefault="005F4FF3" w:rsidP="00F23167">
            <w:pPr>
              <w:pStyle w:val="Tabletext"/>
            </w:pPr>
            <w:r w:rsidRPr="008C12BC">
              <w:rPr>
                <w:rFonts w:eastAsiaTheme="minorEastAsia"/>
                <w:snapToGrid w:val="0"/>
                <w:lang w:eastAsia="ja-JP"/>
              </w:rPr>
              <w:t xml:space="preserve">Issue I </w:t>
            </w:r>
            <w:r w:rsidRPr="00726398">
              <w:rPr>
                <w:lang w:val="en-US"/>
              </w:rPr>
              <w:t>–</w:t>
            </w:r>
            <w:r w:rsidRPr="008C12BC">
              <w:rPr>
                <w:rFonts w:eastAsiaTheme="minorEastAsia"/>
                <w:snapToGrid w:val="0"/>
                <w:lang w:eastAsia="ja-JP"/>
              </w:rPr>
              <w:t xml:space="preserve"> Possible method to mitigate excessive </w:t>
            </w:r>
            <w:bookmarkStart w:id="8" w:name="_GoBack"/>
            <w:bookmarkEnd w:id="8"/>
            <w:r w:rsidRPr="008C12BC">
              <w:rPr>
                <w:rFonts w:eastAsiaTheme="minorEastAsia"/>
                <w:snapToGrid w:val="0"/>
                <w:lang w:eastAsia="ja-JP"/>
              </w:rPr>
              <w:t>satellite network filings issue</w:t>
            </w:r>
          </w:p>
        </w:tc>
        <w:tc>
          <w:tcPr>
            <w:tcW w:w="1559" w:type="dxa"/>
          </w:tcPr>
          <w:p w:rsidR="005F4FF3" w:rsidRDefault="005F4FF3" w:rsidP="00F23167">
            <w:pPr>
              <w:pStyle w:val="Tabletext"/>
              <w:jc w:val="center"/>
            </w:pPr>
            <w:r>
              <w:t>A21-A9</w:t>
            </w:r>
          </w:p>
        </w:tc>
        <w:tc>
          <w:tcPr>
            <w:tcW w:w="1554" w:type="dxa"/>
          </w:tcPr>
          <w:p w:rsidR="005F4FF3" w:rsidRDefault="005F4FF3" w:rsidP="00F23167">
            <w:pPr>
              <w:pStyle w:val="Tabletext"/>
              <w:jc w:val="center"/>
            </w:pPr>
            <w:r>
              <w:t>A21-A9/1</w:t>
            </w:r>
          </w:p>
        </w:tc>
      </w:tr>
      <w:tr w:rsidR="005F4FF3" w:rsidTr="00F23167">
        <w:tc>
          <w:tcPr>
            <w:tcW w:w="846" w:type="dxa"/>
          </w:tcPr>
          <w:p w:rsidR="005F4FF3" w:rsidRDefault="005F4FF3" w:rsidP="00F23167">
            <w:pPr>
              <w:pStyle w:val="Tabletext"/>
              <w:jc w:val="center"/>
            </w:pPr>
            <w:r>
              <w:t>K</w:t>
            </w:r>
          </w:p>
        </w:tc>
        <w:tc>
          <w:tcPr>
            <w:tcW w:w="5670" w:type="dxa"/>
          </w:tcPr>
          <w:p w:rsidR="005F4FF3" w:rsidRDefault="005F4FF3" w:rsidP="00F23167">
            <w:pPr>
              <w:pStyle w:val="Tabletext"/>
            </w:pPr>
            <w:r w:rsidRPr="008C12BC">
              <w:rPr>
                <w:rFonts w:eastAsiaTheme="minorEastAsia"/>
                <w:snapToGrid w:val="0"/>
                <w:lang w:eastAsia="ja-JP"/>
              </w:rPr>
              <w:t xml:space="preserve">Issue K </w:t>
            </w:r>
            <w:r w:rsidRPr="00726398">
              <w:rPr>
                <w:lang w:val="en-US"/>
              </w:rPr>
              <w:t>–</w:t>
            </w:r>
            <w:r w:rsidRPr="008C12BC">
              <w:rPr>
                <w:rFonts w:eastAsiaTheme="minorEastAsia"/>
                <w:snapToGrid w:val="0"/>
                <w:lang w:eastAsia="ja-JP"/>
              </w:rPr>
              <w:t xml:space="preserve"> Addition of a regulatory provision in RR Article 11 for the case of launch failure</w:t>
            </w:r>
          </w:p>
        </w:tc>
        <w:tc>
          <w:tcPr>
            <w:tcW w:w="1559" w:type="dxa"/>
          </w:tcPr>
          <w:p w:rsidR="005F4FF3" w:rsidRDefault="005F4FF3" w:rsidP="00F23167">
            <w:pPr>
              <w:pStyle w:val="Tabletext"/>
              <w:jc w:val="center"/>
            </w:pPr>
            <w:r>
              <w:t>A21-A11</w:t>
            </w:r>
          </w:p>
        </w:tc>
        <w:tc>
          <w:tcPr>
            <w:tcW w:w="1554" w:type="dxa"/>
          </w:tcPr>
          <w:p w:rsidR="005F4FF3" w:rsidRDefault="005F4FF3" w:rsidP="00F23167">
            <w:pPr>
              <w:pStyle w:val="Tabletext"/>
              <w:jc w:val="center"/>
            </w:pPr>
            <w:r>
              <w:t>A21-A11/1</w:t>
            </w:r>
          </w:p>
        </w:tc>
      </w:tr>
      <w:tr w:rsidR="005F4FF3" w:rsidTr="00F23167">
        <w:tc>
          <w:tcPr>
            <w:tcW w:w="846" w:type="dxa"/>
          </w:tcPr>
          <w:p w:rsidR="005F4FF3" w:rsidRDefault="005F4FF3" w:rsidP="00F23167">
            <w:pPr>
              <w:pStyle w:val="Tabletext"/>
              <w:jc w:val="center"/>
            </w:pPr>
            <w:r>
              <w:t>X</w:t>
            </w:r>
          </w:p>
        </w:tc>
        <w:tc>
          <w:tcPr>
            <w:tcW w:w="5670" w:type="dxa"/>
          </w:tcPr>
          <w:p w:rsidR="005F4FF3" w:rsidRDefault="005F4FF3" w:rsidP="00F23167">
            <w:pPr>
              <w:pStyle w:val="Tabletext"/>
            </w:pPr>
            <w:r>
              <w:t xml:space="preserve">Issue X </w:t>
            </w:r>
            <w:r w:rsidRPr="00726398">
              <w:rPr>
                <w:lang w:val="en-US"/>
              </w:rPr>
              <w:t>–</w:t>
            </w:r>
            <w:r>
              <w:t xml:space="preserve"> </w:t>
            </w:r>
            <w:r w:rsidRPr="00CD1611">
              <w:rPr>
                <w:color w:val="000000"/>
              </w:rPr>
              <w:t>Review of the orbital position limitations in Annex 7 to RR A</w:t>
            </w:r>
            <w:r>
              <w:rPr>
                <w:color w:val="000000"/>
              </w:rPr>
              <w:t>ppendix</w:t>
            </w:r>
            <w:r w:rsidRPr="00CD1611">
              <w:rPr>
                <w:color w:val="000000"/>
              </w:rPr>
              <w:t> 30</w:t>
            </w:r>
          </w:p>
        </w:tc>
        <w:tc>
          <w:tcPr>
            <w:tcW w:w="1559" w:type="dxa"/>
          </w:tcPr>
          <w:p w:rsidR="005F4FF3" w:rsidRDefault="005F4FF3" w:rsidP="00F23167">
            <w:pPr>
              <w:pStyle w:val="Tabletext"/>
              <w:jc w:val="center"/>
            </w:pPr>
            <w:r>
              <w:t>A21-A13</w:t>
            </w:r>
          </w:p>
        </w:tc>
        <w:tc>
          <w:tcPr>
            <w:tcW w:w="1554" w:type="dxa"/>
          </w:tcPr>
          <w:p w:rsidR="005F4FF3" w:rsidRDefault="005F4FF3" w:rsidP="00F23167">
            <w:pPr>
              <w:pStyle w:val="Tabletext"/>
              <w:jc w:val="center"/>
            </w:pPr>
            <w:r>
              <w:t>A21-A13/1</w:t>
            </w:r>
          </w:p>
        </w:tc>
      </w:tr>
    </w:tbl>
    <w:p w:rsidR="005F4FF3" w:rsidRDefault="005F4FF3">
      <w:pPr>
        <w:jc w:val="center"/>
      </w:pPr>
      <w:r>
        <w:t>______________</w:t>
      </w:r>
    </w:p>
    <w:sectPr w:rsidR="005F4FF3"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5F4FF3">
      <w:rPr>
        <w:noProof/>
      </w:rPr>
      <w:t>07.10.15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rsidP="00A30305">
    <w:pPr>
      <w:pStyle w:val="Footer"/>
    </w:pPr>
    <w:r>
      <w:fldChar w:fldCharType="begin"/>
    </w:r>
    <w:r w:rsidRPr="0041348E">
      <w:rPr>
        <w:lang w:val="en-US"/>
      </w:rPr>
      <w:instrText xml:space="preserve"> FILENAME \p  \* MERGEFORMAT </w:instrText>
    </w:r>
    <w:r>
      <w:fldChar w:fldCharType="separate"/>
    </w:r>
    <w:r w:rsidR="00F23167">
      <w:rPr>
        <w:lang w:val="en-US"/>
      </w:rPr>
      <w:t>P:\ENG\ITU-R\CONF-R\CMR15\000\032ADD21E.docx</w:t>
    </w:r>
    <w:r>
      <w:fldChar w:fldCharType="end"/>
    </w:r>
    <w:r w:rsidR="00F23167">
      <w:t xml:space="preserve"> (387321)</w:t>
    </w:r>
    <w:r w:rsidRPr="0041348E">
      <w:rPr>
        <w:lang w:val="en-US"/>
      </w:rPr>
      <w:tab/>
    </w:r>
    <w:r>
      <w:fldChar w:fldCharType="begin"/>
    </w:r>
    <w:r>
      <w:instrText xml:space="preserve"> SAVEDATE \@ DD.MM.YY </w:instrText>
    </w:r>
    <w:r>
      <w:fldChar w:fldCharType="separate"/>
    </w:r>
    <w:r w:rsidR="00F23167">
      <w:t>07.10.15</w:t>
    </w:r>
    <w:r>
      <w:fldChar w:fldCharType="end"/>
    </w:r>
    <w:r w:rsidRPr="0041348E">
      <w:rPr>
        <w:lang w:val="en-US"/>
      </w:rPr>
      <w:tab/>
    </w:r>
    <w:r>
      <w:fldChar w:fldCharType="begin"/>
    </w:r>
    <w:r>
      <w:instrText xml:space="preserve"> PRINTDATE \@ DD.MM.YY </w:instrText>
    </w:r>
    <w:r>
      <w:fldChar w:fldCharType="separate"/>
    </w:r>
    <w:r w:rsidR="00F23167">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41348E" w:rsidRDefault="00E45D05" w:rsidP="00A30305">
    <w:pPr>
      <w:pStyle w:val="Footer"/>
      <w:rPr>
        <w:lang w:val="en-US"/>
      </w:rPr>
    </w:pPr>
    <w:r>
      <w:fldChar w:fldCharType="begin"/>
    </w:r>
    <w:r w:rsidRPr="0041348E">
      <w:rPr>
        <w:lang w:val="en-US"/>
      </w:rPr>
      <w:instrText xml:space="preserve"> FILENAME \p  \* MERGEFORMAT </w:instrText>
    </w:r>
    <w:r>
      <w:fldChar w:fldCharType="separate"/>
    </w:r>
    <w:r w:rsidR="00F23167">
      <w:rPr>
        <w:lang w:val="en-US"/>
      </w:rPr>
      <w:t>P:\ENG\ITU-R\CONF-R\CMR15\000\032ADD21E.docx</w:t>
    </w:r>
    <w:r>
      <w:fldChar w:fldCharType="end"/>
    </w:r>
    <w:r w:rsidR="00F23167">
      <w:t xml:space="preserve"> (387321)</w:t>
    </w:r>
    <w:r w:rsidRPr="0041348E">
      <w:rPr>
        <w:lang w:val="en-US"/>
      </w:rPr>
      <w:tab/>
    </w:r>
    <w:r>
      <w:fldChar w:fldCharType="begin"/>
    </w:r>
    <w:r>
      <w:instrText xml:space="preserve"> SAVEDATE \@ DD.MM.YY </w:instrText>
    </w:r>
    <w:r>
      <w:fldChar w:fldCharType="separate"/>
    </w:r>
    <w:r w:rsidR="00F23167">
      <w:t>07.10.15</w:t>
    </w:r>
    <w:r>
      <w:fldChar w:fldCharType="end"/>
    </w:r>
    <w:r w:rsidRPr="0041348E">
      <w:rPr>
        <w:lang w:val="en-US"/>
      </w:rPr>
      <w:tab/>
    </w:r>
    <w:r>
      <w:fldChar w:fldCharType="begin"/>
    </w:r>
    <w:r>
      <w:instrText xml:space="preserve"> PRINTDATE \@ DD.MM.YY </w:instrText>
    </w:r>
    <w:r>
      <w:fldChar w:fldCharType="separate"/>
    </w:r>
    <w:r w:rsidR="00F23167">
      <w:t>10.02.14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F23167">
      <w:rPr>
        <w:noProof/>
      </w:rPr>
      <w:t>2</w:t>
    </w:r>
    <w:r>
      <w:fldChar w:fldCharType="end"/>
    </w:r>
  </w:p>
  <w:p w:rsidR="00A066F1" w:rsidRPr="00A066F1" w:rsidRDefault="00187BD9" w:rsidP="00241FA2">
    <w:pPr>
      <w:pStyle w:val="Header"/>
    </w:pPr>
    <w:r>
      <w:t>CMR1</w:t>
    </w:r>
    <w:r w:rsidR="00241FA2">
      <w:t>5</w:t>
    </w:r>
    <w:r w:rsidR="00A066F1">
      <w:t>/</w:t>
    </w:r>
    <w:bookmarkStart w:id="9" w:name="OLE_LINK1"/>
    <w:bookmarkStart w:id="10" w:name="OLE_LINK2"/>
    <w:bookmarkStart w:id="11" w:name="OLE_LINK3"/>
    <w:r w:rsidR="00EB55C6">
      <w:t>32(Add.21)</w:t>
    </w:r>
    <w:bookmarkEnd w:id="9"/>
    <w:bookmarkEnd w:id="10"/>
    <w:bookmarkEnd w:id="11"/>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705F2"/>
    <w:rsid w:val="00077239"/>
    <w:rsid w:val="00086491"/>
    <w:rsid w:val="00091346"/>
    <w:rsid w:val="0009706C"/>
    <w:rsid w:val="000D154B"/>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5F4FF3"/>
    <w:rsid w:val="006023DF"/>
    <w:rsid w:val="00616219"/>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845D0"/>
    <w:rsid w:val="00884D60"/>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372E"/>
    <w:rsid w:val="00A93B85"/>
    <w:rsid w:val="00AA0B18"/>
    <w:rsid w:val="00AA3C65"/>
    <w:rsid w:val="00AA666F"/>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23167"/>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A51A9F8-E310-49DC-BF69-90B2D69F7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table" w:styleId="TableGrid">
    <w:name w:val="Table Grid"/>
    <w:basedOn w:val="TableNormal"/>
    <w:rsid w:val="005F4F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R15-WRC15-C-0032!A21!MSW-E</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215A3-5D04-4AEE-B8B3-7CD9C7FF4869}">
  <ds:schemaRefs>
    <ds:schemaRef ds:uri="32a1a8c5-2265-4ebc-b7a0-2071e2c5c9bb"/>
    <ds:schemaRef ds:uri="996b2e75-67fd-4955-a3b0-5ab9934cb50b"/>
    <ds:schemaRef ds:uri="http://schemas.microsoft.com/office/2006/documentManagement/types"/>
    <ds:schemaRef ds:uri="http://purl.org/dc/elements/1.1/"/>
    <ds:schemaRef ds:uri="http://schemas.openxmlformats.org/package/2006/metadata/core-properties"/>
    <ds:schemaRef ds:uri="http://purl.org/dc/terms/"/>
    <ds:schemaRef ds:uri="http://www.w3.org/XML/1998/namespace"/>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587A17-7EF5-4FDD-A819-57F71301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5</TotalTime>
  <Pages>1</Pages>
  <Words>298</Words>
  <Characters>1679</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R15-WRC15-C-0032!A21!MSW-E</vt:lpstr>
    </vt:vector>
  </TitlesOfParts>
  <Manager>General Secretariat - Pool</Manager>
  <Company>International Telecommunication Union (ITU)</Company>
  <LinksUpToDate>false</LinksUpToDate>
  <CharactersWithSpaces>1963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R15-WRC15-C-0032!A21!MSW-E</dc:title>
  <dc:subject>World Radiocommunication Conference - 2015</dc:subject>
  <dc:creator>Documents Proposals Manager (DPM)</dc:creator>
  <cp:keywords>DPM_v5.2015.9.16_prod</cp:keywords>
  <dc:description>Uploaded on 2015.07.06</dc:description>
  <cp:lastModifiedBy>Turnbull, Karen</cp:lastModifiedBy>
  <cp:revision>3</cp:revision>
  <cp:lastPrinted>2014-02-10T09:49:00Z</cp:lastPrinted>
  <dcterms:created xsi:type="dcterms:W3CDTF">2015-10-07T11:20:00Z</dcterms:created>
  <dcterms:modified xsi:type="dcterms:W3CDTF">2015-10-07T11:25:00Z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