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A861F7">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A861F7">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14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A861F7">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A861F7">
        <w:trPr>
          <w:cantSplit/>
        </w:trPr>
        <w:tc>
          <w:tcPr>
            <w:tcW w:w="10031" w:type="dxa"/>
            <w:gridSpan w:val="2"/>
          </w:tcPr>
          <w:p w:rsidR="00690C7B" w:rsidRPr="006D1626" w:rsidRDefault="00690C7B" w:rsidP="00690C7B">
            <w:pPr>
              <w:pStyle w:val="Source"/>
              <w:rPr>
                <w:lang w:val="fr-CH"/>
              </w:rPr>
            </w:pPr>
            <w:bookmarkStart w:id="2" w:name="dsource" w:colFirst="0" w:colLast="0"/>
            <w:r w:rsidRPr="006D1626">
              <w:rPr>
                <w:lang w:val="fr-CH"/>
              </w:rPr>
              <w:t>Propositions communes de la Télécommunauté Asie-Pacifique</w:t>
            </w:r>
          </w:p>
        </w:tc>
      </w:tr>
      <w:tr w:rsidR="00690C7B" w:rsidRPr="004546A5" w:rsidTr="00A861F7">
        <w:trPr>
          <w:cantSplit/>
        </w:trPr>
        <w:tc>
          <w:tcPr>
            <w:tcW w:w="10031" w:type="dxa"/>
            <w:gridSpan w:val="2"/>
          </w:tcPr>
          <w:p w:rsidR="00690C7B" w:rsidRPr="004546A5" w:rsidRDefault="0046659F" w:rsidP="00690C7B">
            <w:pPr>
              <w:pStyle w:val="Title1"/>
              <w:rPr>
                <w:lang w:val="fr-CH"/>
              </w:rPr>
            </w:pPr>
            <w:bookmarkStart w:id="3" w:name="dtitle1" w:colFirst="0" w:colLast="0"/>
            <w:bookmarkEnd w:id="2"/>
            <w:r w:rsidRPr="004546A5">
              <w:rPr>
                <w:lang w:val="fr-CH"/>
              </w:rPr>
              <w:t>propositions pour les travaux de la conférence</w:t>
            </w:r>
          </w:p>
        </w:tc>
      </w:tr>
      <w:tr w:rsidR="00690C7B" w:rsidRPr="004546A5" w:rsidTr="00A861F7">
        <w:trPr>
          <w:cantSplit/>
        </w:trPr>
        <w:tc>
          <w:tcPr>
            <w:tcW w:w="10031" w:type="dxa"/>
            <w:gridSpan w:val="2"/>
          </w:tcPr>
          <w:p w:rsidR="00690C7B" w:rsidRPr="004546A5" w:rsidRDefault="00690C7B" w:rsidP="00690C7B">
            <w:pPr>
              <w:pStyle w:val="Title2"/>
              <w:rPr>
                <w:lang w:val="fr-CH"/>
              </w:rPr>
            </w:pPr>
            <w:bookmarkStart w:id="4" w:name="dtitle2" w:colFirst="0" w:colLast="0"/>
            <w:bookmarkEnd w:id="3"/>
          </w:p>
        </w:tc>
      </w:tr>
      <w:tr w:rsidR="00690C7B" w:rsidTr="00A861F7">
        <w:trPr>
          <w:cantSplit/>
        </w:trPr>
        <w:tc>
          <w:tcPr>
            <w:tcW w:w="10031" w:type="dxa"/>
            <w:gridSpan w:val="2"/>
          </w:tcPr>
          <w:p w:rsidR="00690C7B" w:rsidRDefault="00690C7B" w:rsidP="00690C7B">
            <w:pPr>
              <w:pStyle w:val="Agendaitem"/>
            </w:pPr>
            <w:bookmarkStart w:id="5" w:name="dtitle3" w:colFirst="0" w:colLast="0"/>
            <w:bookmarkEnd w:id="4"/>
            <w:r w:rsidRPr="006D4724">
              <w:t>Point 1.14 de l'ordre du jour</w:t>
            </w:r>
          </w:p>
        </w:tc>
      </w:tr>
    </w:tbl>
    <w:bookmarkEnd w:id="5"/>
    <w:p w:rsidR="00A861F7" w:rsidRPr="003502F4" w:rsidRDefault="004B79A3" w:rsidP="00A861F7">
      <w:r w:rsidRPr="003502F4">
        <w:t>1.14</w:t>
      </w:r>
      <w:r w:rsidRPr="003502F4">
        <w:tab/>
        <w:t>envisager la possibilité d'obtenir une échelle de temps de référence continue, en modifiant le temps universel coordonné (UTC) ou en utilisant une autre méthode, et prendre les mesures voulues à cet égard, conformément à la Résolution </w:t>
      </w:r>
      <w:r w:rsidRPr="009B006A">
        <w:rPr>
          <w:b/>
          <w:bCs/>
        </w:rPr>
        <w:t>653 (CMR-12)</w:t>
      </w:r>
      <w:r w:rsidRPr="003502F4">
        <w:t>;</w:t>
      </w:r>
    </w:p>
    <w:p w:rsidR="003A583E" w:rsidRPr="00730488" w:rsidRDefault="00730488" w:rsidP="00A861F7">
      <w:pPr>
        <w:pStyle w:val="Headingb"/>
      </w:pPr>
      <w:r w:rsidRPr="00730488">
        <w:t>Introduction</w:t>
      </w:r>
    </w:p>
    <w:p w:rsidR="00730488" w:rsidRDefault="00730488" w:rsidP="002F6490">
      <w:pPr>
        <w:pStyle w:val="enumlev1"/>
      </w:pPr>
      <w:r>
        <w:t>a)</w:t>
      </w:r>
      <w:r>
        <w:tab/>
        <w:t>Position de l'APT concernant le point 1.14 de l'ordre du jour:</w:t>
      </w:r>
    </w:p>
    <w:p w:rsidR="00730488" w:rsidRDefault="00616D8F" w:rsidP="00CF1C1E">
      <w:pPr>
        <w:pStyle w:val="enumlev2"/>
      </w:pPr>
      <w:r w:rsidRPr="00616D8F">
        <w:rPr>
          <w:rFonts w:eastAsia="SimSun"/>
          <w:lang w:val="fr-CH" w:eastAsia="zh-CN"/>
        </w:rPr>
        <w:t>–</w:t>
      </w:r>
      <w:r w:rsidR="00730488">
        <w:tab/>
        <w:t>Les Membres de l'APT sont favorables à la Méthode A1 du Rapport de la RPC à la CMR-15</w:t>
      </w:r>
      <w:r w:rsidR="00E71055">
        <w:t>.</w:t>
      </w:r>
    </w:p>
    <w:p w:rsidR="00730488" w:rsidRDefault="00616D8F" w:rsidP="00CF1C1E">
      <w:pPr>
        <w:pStyle w:val="enumlev2"/>
      </w:pPr>
      <w:r w:rsidRPr="00616D8F">
        <w:rPr>
          <w:rFonts w:eastAsia="SimSun"/>
          <w:lang w:val="fr-CH" w:eastAsia="zh-CN"/>
        </w:rPr>
        <w:t>–</w:t>
      </w:r>
      <w:r w:rsidR="00730488">
        <w:tab/>
        <w:t xml:space="preserve">Les Membres de l'APT sont favorables aux modifications </w:t>
      </w:r>
      <w:r w:rsidR="00047471">
        <w:t>qu'il est proposé d'apporter a</w:t>
      </w:r>
      <w:r w:rsidR="00730488">
        <w:t xml:space="preserve">u Règlement des radiocommunications </w:t>
      </w:r>
      <w:r w:rsidR="00A95888">
        <w:t>conformément à</w:t>
      </w:r>
      <w:r w:rsidR="00730488">
        <w:t xml:space="preserve"> la section 2/1.14/5.1.1 du Rapport de la RPC</w:t>
      </w:r>
      <w:r w:rsidR="00F41E3B">
        <w:t>,</w:t>
      </w:r>
      <w:r w:rsidR="00730488">
        <w:t xml:space="preserve"> qui correspond</w:t>
      </w:r>
      <w:r w:rsidR="00525449">
        <w:t>ent</w:t>
      </w:r>
      <w:r>
        <w:t xml:space="preserve"> à la M</w:t>
      </w:r>
      <w:r w:rsidR="00730488">
        <w:t>éthode A1</w:t>
      </w:r>
      <w:r w:rsidR="00E71055">
        <w:t>.</w:t>
      </w:r>
    </w:p>
    <w:p w:rsidR="00730488" w:rsidRDefault="00616D8F" w:rsidP="00CF1C1E">
      <w:pPr>
        <w:pStyle w:val="enumlev2"/>
      </w:pPr>
      <w:r w:rsidRPr="00616D8F">
        <w:rPr>
          <w:rFonts w:eastAsia="SimSun"/>
          <w:lang w:val="fr-CH" w:eastAsia="zh-CN"/>
        </w:rPr>
        <w:t>–</w:t>
      </w:r>
      <w:r w:rsidR="00730488">
        <w:tab/>
      </w:r>
      <w:r w:rsidR="00F41E3B">
        <w:t>Pour l</w:t>
      </w:r>
      <w:r w:rsidR="0046659F" w:rsidRPr="0046659F">
        <w:t>aisser aux systèmes existants qui s'appuient sur l'utilisation des secondes intercalaires suffisamment de temps pour s'adapter aux changements apportés au temps UTC, l'application de la suppression des ajustements par secondes intercalaires apportés au temps UTC prendra effet au plus tôt cinq ans après la date d'entrée en vigueur des Actes finals de la CMR-15.</w:t>
      </w:r>
    </w:p>
    <w:p w:rsidR="0046659F" w:rsidRDefault="0046659F" w:rsidP="00553D7E">
      <w:pPr>
        <w:pStyle w:val="enumlev1"/>
      </w:pPr>
      <w:r>
        <w:t>b)</w:t>
      </w:r>
      <w:r>
        <w:tab/>
        <w:t>Motifs de la position précédente:</w:t>
      </w:r>
    </w:p>
    <w:p w:rsidR="0046659F" w:rsidRDefault="0046659F" w:rsidP="00553D7E">
      <w:pPr>
        <w:pStyle w:val="enumlev1"/>
      </w:pPr>
      <w:r>
        <w:t xml:space="preserve">Les Membres de l'APT </w:t>
      </w:r>
      <w:r w:rsidR="00954BF5">
        <w:t xml:space="preserve">ont les </w:t>
      </w:r>
      <w:r w:rsidR="00F41E3B">
        <w:t>avis</w:t>
      </w:r>
      <w:r w:rsidR="00954BF5">
        <w:t xml:space="preserve"> suivants:</w:t>
      </w:r>
    </w:p>
    <w:p w:rsidR="00954BF5" w:rsidRDefault="00616D8F" w:rsidP="00553D7E">
      <w:pPr>
        <w:pStyle w:val="enumlev2"/>
      </w:pPr>
      <w:r w:rsidRPr="00616D8F">
        <w:rPr>
          <w:rFonts w:eastAsia="SimSun"/>
          <w:lang w:val="fr-CH" w:eastAsia="zh-CN"/>
        </w:rPr>
        <w:t>–</w:t>
      </w:r>
      <w:r w:rsidR="00954BF5">
        <w:tab/>
        <w:t>Les Membres de l'APT approuvent les études en</w:t>
      </w:r>
      <w:r>
        <w:t>treprises par le GT 7A de l'UIT</w:t>
      </w:r>
      <w:r>
        <w:noBreakHyphen/>
      </w:r>
      <w:r w:rsidR="00954BF5">
        <w:t>R sur la faisabilité de la mise en place d'une échelle</w:t>
      </w:r>
      <w:r w:rsidR="00E71055">
        <w:t xml:space="preserve"> de temps de référence continue.</w:t>
      </w:r>
    </w:p>
    <w:p w:rsidR="00954BF5" w:rsidRDefault="00616D8F" w:rsidP="00553D7E">
      <w:pPr>
        <w:pStyle w:val="enumlev2"/>
      </w:pPr>
      <w:r w:rsidRPr="00616D8F">
        <w:rPr>
          <w:rFonts w:eastAsia="SimSun"/>
          <w:lang w:val="fr-CH" w:eastAsia="zh-CN"/>
        </w:rPr>
        <w:t>–</w:t>
      </w:r>
      <w:r w:rsidR="00954BF5">
        <w:tab/>
      </w:r>
      <w:r w:rsidR="00465CC2">
        <w:t>L'établissement</w:t>
      </w:r>
      <w:r w:rsidR="00954BF5">
        <w:t xml:space="preserve"> </w:t>
      </w:r>
      <w:r w:rsidR="00465CC2">
        <w:t>d'</w:t>
      </w:r>
      <w:r w:rsidR="00954BF5">
        <w:t xml:space="preserve">une échelle de temps de référence </w:t>
      </w:r>
      <w:r w:rsidR="00465CC2">
        <w:t xml:space="preserve">internationale </w:t>
      </w:r>
      <w:r w:rsidR="00954BF5">
        <w:t>c</w:t>
      </w:r>
      <w:r w:rsidR="00BC4748">
        <w:t>ontinue, comme cela est proposé</w:t>
      </w:r>
      <w:r w:rsidR="00954BF5">
        <w:t xml:space="preserve"> dans les Méthodes A1 et A2 du Rapport de la RPC, </w:t>
      </w:r>
      <w:r w:rsidR="00A95888">
        <w:t>est</w:t>
      </w:r>
      <w:r w:rsidR="00954BF5">
        <w:t xml:space="preserve"> dans l'intérêt de la </w:t>
      </w:r>
      <w:r w:rsidR="00465CC2">
        <w:t>plus grande partie</w:t>
      </w:r>
      <w:r w:rsidR="00954BF5">
        <w:t xml:space="preserve"> des utilisateurs</w:t>
      </w:r>
      <w:r w:rsidR="00BC4748">
        <w:t xml:space="preserve">, et les organisations internationales concernées devraient élaborer et </w:t>
      </w:r>
      <w:r w:rsidR="00465CC2">
        <w:t>approuver</w:t>
      </w:r>
      <w:r w:rsidR="00BC4748">
        <w:t xml:space="preserve"> un processus approprié pour </w:t>
      </w:r>
      <w:r w:rsidR="00465CC2">
        <w:t>la mise</w:t>
      </w:r>
      <w:r w:rsidR="00BC4748">
        <w:t xml:space="preserve"> en place </w:t>
      </w:r>
      <w:r w:rsidR="00465CC2">
        <w:t>d'</w:t>
      </w:r>
      <w:r w:rsidR="00BC4748">
        <w:t>une échelle de temps internationale continue.</w:t>
      </w:r>
    </w:p>
    <w:p w:rsidR="00BC4748" w:rsidRDefault="00616D8F" w:rsidP="00553D7E">
      <w:pPr>
        <w:pStyle w:val="enumlev2"/>
      </w:pPr>
      <w:r w:rsidRPr="00616D8F">
        <w:rPr>
          <w:rFonts w:eastAsia="SimSun"/>
          <w:lang w:val="fr-CH" w:eastAsia="zh-CN"/>
        </w:rPr>
        <w:lastRenderedPageBreak/>
        <w:t>–</w:t>
      </w:r>
      <w:r w:rsidR="00BC4748">
        <w:tab/>
        <w:t>La mise en place d'une échelle de temps de référence internationale continue est possible, moyennant l'abolition de l'insertion de secondes intercalaires</w:t>
      </w:r>
      <w:r w:rsidR="00465CC2">
        <w:t xml:space="preserve"> dans le temps UTC</w:t>
      </w:r>
      <w:r w:rsidR="00BC4748">
        <w:t>, comme cela est proposé dans les Méthodes A1 et A2 du Rapport de la RPC.</w:t>
      </w:r>
    </w:p>
    <w:p w:rsidR="00BC4748" w:rsidRDefault="00616D8F" w:rsidP="00553D7E">
      <w:pPr>
        <w:pStyle w:val="enumlev2"/>
      </w:pPr>
      <w:r w:rsidRPr="00616D8F">
        <w:rPr>
          <w:rFonts w:eastAsia="SimSun"/>
          <w:lang w:val="fr-CH" w:eastAsia="zh-CN"/>
        </w:rPr>
        <w:t>–</w:t>
      </w:r>
      <w:r w:rsidR="00BC4748">
        <w:tab/>
        <w:t>L'abolition des secondes intercalaires proposée dans les Méthodes A1 et A2 du Rapport de la RPC permettrait de réduire les risques d'erreur de la part des opérateurs et d'améliorer la fiabilité des s</w:t>
      </w:r>
      <w:r w:rsidR="00E71055">
        <w:t>ystèmes qui dépendent du temps.</w:t>
      </w:r>
    </w:p>
    <w:p w:rsidR="00BC4748" w:rsidRDefault="00616D8F" w:rsidP="00553D7E">
      <w:pPr>
        <w:pStyle w:val="enumlev2"/>
      </w:pPr>
      <w:r w:rsidRPr="00616D8F">
        <w:rPr>
          <w:rFonts w:eastAsia="SimSun"/>
          <w:lang w:val="fr-CH" w:eastAsia="zh-CN"/>
        </w:rPr>
        <w:t>–</w:t>
      </w:r>
      <w:r w:rsidR="00E71055">
        <w:tab/>
      </w:r>
      <w:r w:rsidR="00E71055" w:rsidRPr="00E71055">
        <w:t xml:space="preserve">La diffusion de deux échelles de temps «normalisées» </w:t>
      </w:r>
      <w:r>
        <w:t>proposée dans la Méthode </w:t>
      </w:r>
      <w:r w:rsidR="00E71055">
        <w:t xml:space="preserve">B du Rapport de la RPC pourrait entraîner des risques de confusion importants, et il </w:t>
      </w:r>
      <w:r w:rsidR="00E71055" w:rsidRPr="00E71055">
        <w:t>sera</w:t>
      </w:r>
      <w:r w:rsidR="00E71055">
        <w:t>it</w:t>
      </w:r>
      <w:r w:rsidR="00E71055" w:rsidRPr="00E71055">
        <w:t xml:space="preserve"> primordial de différencier </w:t>
      </w:r>
      <w:r w:rsidR="00C93BD8" w:rsidRPr="00E71055">
        <w:t>les deux éche</w:t>
      </w:r>
      <w:r w:rsidR="00C93BD8">
        <w:t>lles de temps</w:t>
      </w:r>
      <w:r w:rsidR="00C93BD8" w:rsidRPr="00E71055">
        <w:t xml:space="preserve"> </w:t>
      </w:r>
      <w:r w:rsidR="00E71055" w:rsidRPr="00E71055">
        <w:t xml:space="preserve">en </w:t>
      </w:r>
      <w:r w:rsidR="005103CA">
        <w:t xml:space="preserve">faisant </w:t>
      </w:r>
      <w:r w:rsidR="00465CC2">
        <w:t>effectivement</w:t>
      </w:r>
      <w:r w:rsidR="005103CA">
        <w:t xml:space="preserve"> en sorte</w:t>
      </w:r>
      <w:r w:rsidR="00C93BD8">
        <w:t xml:space="preserve"> de parer à d'éventuelles défaillances</w:t>
      </w:r>
      <w:r w:rsidR="00E71055">
        <w:t>.</w:t>
      </w:r>
    </w:p>
    <w:p w:rsidR="00E71055" w:rsidRDefault="00616D8F" w:rsidP="00553D7E">
      <w:pPr>
        <w:pStyle w:val="enumlev2"/>
      </w:pPr>
      <w:r w:rsidRPr="00616D8F">
        <w:rPr>
          <w:rFonts w:eastAsia="SimSun"/>
          <w:lang w:val="fr-CH" w:eastAsia="zh-CN"/>
        </w:rPr>
        <w:t>–</w:t>
      </w:r>
      <w:r w:rsidR="002559DC">
        <w:tab/>
        <w:t>Compte te</w:t>
      </w:r>
      <w:r w:rsidR="00047471">
        <w:t>nu de l</w:t>
      </w:r>
      <w:r w:rsidR="00465CC2">
        <w:t>a large</w:t>
      </w:r>
      <w:r w:rsidR="00E71055">
        <w:t xml:space="preserve"> application</w:t>
      </w:r>
      <w:r w:rsidR="00047471">
        <w:t xml:space="preserve"> du temps UTC</w:t>
      </w:r>
      <w:r w:rsidR="00E71055">
        <w:t xml:space="preserve">, le changement de nom </w:t>
      </w:r>
      <w:r w:rsidR="00047471">
        <w:t xml:space="preserve">de cette échelle de temps </w:t>
      </w:r>
      <w:r w:rsidR="00E71055">
        <w:t xml:space="preserve">proposé dans la Méthode A2 du Rapport de la RPC </w:t>
      </w:r>
      <w:r w:rsidR="00BA3EC3">
        <w:t xml:space="preserve">doit être </w:t>
      </w:r>
      <w:r w:rsidR="00760AB5">
        <w:t xml:space="preserve">traité avec précaution </w:t>
      </w:r>
      <w:r w:rsidR="00400FA8">
        <w:t>partout dans l</w:t>
      </w:r>
      <w:r w:rsidR="00760AB5">
        <w:t>e monde</w:t>
      </w:r>
      <w:r w:rsidR="00BA3EC3">
        <w:t xml:space="preserve">, et ce tant au </w:t>
      </w:r>
      <w:r w:rsidR="00A95888">
        <w:t>niveau</w:t>
      </w:r>
      <w:r w:rsidR="00E71055">
        <w:t xml:space="preserve"> international </w:t>
      </w:r>
      <w:r w:rsidR="00BA3EC3">
        <w:t>qu'</w:t>
      </w:r>
      <w:r w:rsidR="00E71055">
        <w:t xml:space="preserve">au </w:t>
      </w:r>
      <w:r w:rsidR="00A95888">
        <w:t>niveau</w:t>
      </w:r>
      <w:r w:rsidR="00E71055">
        <w:t xml:space="preserve"> national.</w:t>
      </w:r>
    </w:p>
    <w:p w:rsidR="00760AB5" w:rsidRPr="00760AB5" w:rsidRDefault="00760AB5" w:rsidP="00A861F7">
      <w:pPr>
        <w:pStyle w:val="Headingb"/>
      </w:pPr>
      <w:r w:rsidRPr="00760AB5">
        <w:t>Proposition</w:t>
      </w:r>
      <w:r>
        <w:t>s</w:t>
      </w:r>
    </w:p>
    <w:p w:rsidR="00A861F7" w:rsidRDefault="004B79A3" w:rsidP="00A861F7">
      <w:pPr>
        <w:pStyle w:val="ArtNo"/>
      </w:pPr>
      <w:r>
        <w:t xml:space="preserve">ARTICLE </w:t>
      </w:r>
      <w:r>
        <w:rPr>
          <w:rStyle w:val="href"/>
          <w:color w:val="000000"/>
        </w:rPr>
        <w:t>1</w:t>
      </w:r>
    </w:p>
    <w:p w:rsidR="00A861F7" w:rsidRDefault="004B79A3" w:rsidP="00A861F7">
      <w:pPr>
        <w:pStyle w:val="Arttitle"/>
      </w:pPr>
      <w:r>
        <w:t>Termes et définitions</w:t>
      </w:r>
    </w:p>
    <w:p w:rsidR="00A861F7" w:rsidRPr="00375EEA" w:rsidRDefault="004B79A3" w:rsidP="00A861F7">
      <w:pPr>
        <w:pStyle w:val="Section1"/>
      </w:pPr>
      <w:r>
        <w:t xml:space="preserve">Section I – </w:t>
      </w:r>
      <w:r w:rsidRPr="00375EEA">
        <w:t>Termes généraux</w:t>
      </w:r>
    </w:p>
    <w:p w:rsidR="004F09AD" w:rsidRDefault="004B79A3">
      <w:pPr>
        <w:pStyle w:val="Proposal"/>
      </w:pPr>
      <w:r>
        <w:t>MOD</w:t>
      </w:r>
      <w:r>
        <w:tab/>
        <w:t>ASP/32A14/1</w:t>
      </w:r>
    </w:p>
    <w:p w:rsidR="00A861F7" w:rsidRPr="00880E98" w:rsidRDefault="004B79A3" w:rsidP="00623CB4">
      <w:r w:rsidRPr="00623431">
        <w:rPr>
          <w:rStyle w:val="Artdef"/>
        </w:rPr>
        <w:t>1.14</w:t>
      </w:r>
      <w:r w:rsidRPr="0061407F">
        <w:tab/>
      </w:r>
      <w:r w:rsidRPr="00880E98">
        <w:tab/>
      </w:r>
      <w:proofErr w:type="gramStart"/>
      <w:r w:rsidRPr="00D35796">
        <w:rPr>
          <w:i/>
          <w:iCs/>
        </w:rPr>
        <w:t>temps</w:t>
      </w:r>
      <w:proofErr w:type="gramEnd"/>
      <w:r w:rsidRPr="00D35796">
        <w:rPr>
          <w:i/>
          <w:iCs/>
        </w:rPr>
        <w:t xml:space="preserve"> universel coordonné (UTC)</w:t>
      </w:r>
      <w:r w:rsidRPr="00880E98">
        <w:t>:</w:t>
      </w:r>
      <w:r w:rsidRPr="00D35796">
        <w:rPr>
          <w:i/>
          <w:iCs/>
        </w:rPr>
        <w:t> </w:t>
      </w:r>
      <w:proofErr w:type="spellStart"/>
      <w:r w:rsidRPr="00880E98">
        <w:t>Echelle</w:t>
      </w:r>
      <w:proofErr w:type="spellEnd"/>
      <w:r w:rsidRPr="00880E98">
        <w:t xml:space="preserve"> de temps fondée sur la seconde (SI)</w:t>
      </w:r>
      <w:ins w:id="6" w:author="Germain, Catherine" w:date="2015-10-09T09:46:00Z">
        <w:r w:rsidR="00623CB4">
          <w:t xml:space="preserve"> </w:t>
        </w:r>
      </w:ins>
      <w:ins w:id="7" w:author="Royer, Veronique" w:date="2014-06-02T10:52:00Z">
        <w:r w:rsidR="009E361F">
          <w:t xml:space="preserve">et </w:t>
        </w:r>
        <w:r w:rsidR="009E361F" w:rsidRPr="003C07C5">
          <w:t xml:space="preserve">maintenue par le Bureau international des Poids et Mesures </w:t>
        </w:r>
        <w:r w:rsidR="009E361F">
          <w:t>(</w:t>
        </w:r>
        <w:r w:rsidR="009E361F" w:rsidRPr="003C07C5">
          <w:t>BIPM</w:t>
        </w:r>
        <w:r w:rsidR="009E361F">
          <w:t>)</w:t>
        </w:r>
        <w:r w:rsidR="009E361F" w:rsidRPr="003C07C5">
          <w:t>, qui constitue la base de la diffusion coordonnée des fréquences étalon et des signaux horaires</w:t>
        </w:r>
      </w:ins>
      <w:del w:id="8" w:author="Royer, Veronique" w:date="2014-05-28T14:41:00Z">
        <w:r w:rsidR="009E361F" w:rsidRPr="00880E98" w:rsidDel="00AC60A5">
          <w:delText>, définie dans la Recommandation UIT-R TF.460-6</w:delText>
        </w:r>
      </w:del>
      <w:r w:rsidR="009E361F" w:rsidRPr="00880E98">
        <w:t>.</w:t>
      </w:r>
      <w:r w:rsidR="00400FA8">
        <w:rPr>
          <w:sz w:val="16"/>
          <w:szCs w:val="16"/>
        </w:rPr>
        <w:t>     </w:t>
      </w:r>
      <w:r w:rsidR="009E361F" w:rsidRPr="00E81452">
        <w:rPr>
          <w:sz w:val="16"/>
          <w:szCs w:val="16"/>
        </w:rPr>
        <w:t>(CMR-</w:t>
      </w:r>
      <w:del w:id="9" w:author="Royer, Veronique" w:date="2014-05-28T14:41:00Z">
        <w:r w:rsidR="009E361F" w:rsidRPr="00E81452" w:rsidDel="00AC60A5">
          <w:rPr>
            <w:sz w:val="16"/>
            <w:szCs w:val="16"/>
          </w:rPr>
          <w:delText>03</w:delText>
        </w:r>
      </w:del>
      <w:ins w:id="10" w:author="Royer, Veronique" w:date="2014-05-28T14:41:00Z">
        <w:r w:rsidR="009E361F">
          <w:rPr>
            <w:sz w:val="16"/>
            <w:szCs w:val="16"/>
          </w:rPr>
          <w:t>15</w:t>
        </w:r>
      </w:ins>
      <w:r w:rsidR="009E361F" w:rsidRPr="00E81452">
        <w:rPr>
          <w:sz w:val="16"/>
          <w:szCs w:val="16"/>
        </w:rPr>
        <w:t>)</w:t>
      </w:r>
    </w:p>
    <w:p w:rsidR="00A861F7" w:rsidDel="009E361F" w:rsidRDefault="004B79A3" w:rsidP="00A861F7">
      <w:pPr>
        <w:rPr>
          <w:del w:id="11" w:author="Manouvrier, Yves" w:date="2015-10-02T14:20:00Z"/>
        </w:rPr>
      </w:pPr>
      <w:del w:id="12" w:author="Manouvrier, Yves" w:date="2015-10-02T14:20:00Z">
        <w:r w:rsidRPr="00880E98" w:rsidDel="009E361F">
          <w:tab/>
        </w:r>
        <w:r w:rsidRPr="00880E98" w:rsidDel="009E361F">
          <w:tab/>
          <w:delText>Pour la plupart des applications pratiques associées au Règlement des radiocommunications, le temps UTC est équivalent au temps solaire moyen au méridien d'origine (0° de longitude), exprimé antérieurement en TMG.</w:delText>
        </w:r>
      </w:del>
    </w:p>
    <w:p w:rsidR="004F09AD" w:rsidRDefault="004B79A3" w:rsidP="00400FA8">
      <w:pPr>
        <w:pStyle w:val="Reasons"/>
      </w:pPr>
      <w:r>
        <w:rPr>
          <w:b/>
        </w:rPr>
        <w:t>Motifs:</w:t>
      </w:r>
      <w:r>
        <w:tab/>
      </w:r>
      <w:r w:rsidR="00921D34">
        <w:t>Supprimer l'incorporation par référence de la Recommandation UIT-R TF.460-6, qui définit l'utilisation de</w:t>
      </w:r>
      <w:r w:rsidR="00400FA8">
        <w:t xml:space="preserve">s </w:t>
      </w:r>
      <w:r w:rsidR="00921D34">
        <w:t>seconde</w:t>
      </w:r>
      <w:r w:rsidR="00400FA8">
        <w:t>s</w:t>
      </w:r>
      <w:r w:rsidR="00921D34">
        <w:t xml:space="preserve"> intercalaire</w:t>
      </w:r>
      <w:r w:rsidR="00400FA8">
        <w:t>s dans le temps UTC;</w:t>
      </w:r>
      <w:r w:rsidR="00921D34">
        <w:t xml:space="preserve"> ajouter une référence à l'organisation internationale chargée de maintenir l'échelle de temps UTC</w:t>
      </w:r>
      <w:r w:rsidR="00400FA8">
        <w:t>;</w:t>
      </w:r>
      <w:r w:rsidR="00921D34">
        <w:t xml:space="preserve"> et supprimer l'équivalence entre le temps UTC et le temps solaire moyen au méridien d'origine.</w:t>
      </w:r>
    </w:p>
    <w:p w:rsidR="00A861F7" w:rsidRPr="00A63738" w:rsidRDefault="004B79A3" w:rsidP="00A861F7">
      <w:pPr>
        <w:pStyle w:val="ArtNo"/>
      </w:pPr>
      <w:r>
        <w:lastRenderedPageBreak/>
        <w:t xml:space="preserve">ARTICLE </w:t>
      </w:r>
      <w:r w:rsidRPr="00A63738">
        <w:rPr>
          <w:rStyle w:val="href"/>
          <w:color w:val="000000"/>
        </w:rPr>
        <w:t>2</w:t>
      </w:r>
    </w:p>
    <w:p w:rsidR="00A861F7" w:rsidRDefault="004B79A3" w:rsidP="00A861F7">
      <w:pPr>
        <w:pStyle w:val="Arttitle"/>
      </w:pPr>
      <w:r w:rsidRPr="00A63738">
        <w:t>Nomenclature</w:t>
      </w:r>
    </w:p>
    <w:p w:rsidR="00A861F7" w:rsidRPr="00CB4E8C" w:rsidRDefault="004B79A3" w:rsidP="00A861F7">
      <w:pPr>
        <w:pStyle w:val="Section1"/>
        <w:keepNext/>
      </w:pPr>
      <w:r>
        <w:t xml:space="preserve">Section II – </w:t>
      </w:r>
      <w:r w:rsidRPr="00CB4E8C">
        <w:t>Dates et heures</w:t>
      </w:r>
    </w:p>
    <w:p w:rsidR="004F09AD" w:rsidRDefault="004B79A3">
      <w:pPr>
        <w:pStyle w:val="Proposal"/>
      </w:pPr>
      <w:r>
        <w:t>MOD</w:t>
      </w:r>
      <w:r>
        <w:tab/>
        <w:t>ASP/32A14/2</w:t>
      </w:r>
    </w:p>
    <w:p w:rsidR="00A861F7" w:rsidRDefault="004B79A3">
      <w:r w:rsidRPr="009D3550">
        <w:rPr>
          <w:rStyle w:val="Artdef"/>
        </w:rPr>
        <w:t>2.5</w:t>
      </w:r>
      <w:r w:rsidRPr="0061407F">
        <w:tab/>
      </w:r>
      <w:r w:rsidRPr="00880E98">
        <w:tab/>
        <w:t xml:space="preserve">Chaque fois qu'une date est utilisée en relation avec le temps universel coordonné (UTC), cette date </w:t>
      </w:r>
      <w:del w:id="13" w:author="Manouvrier, Yves" w:date="2015-10-02T14:27:00Z">
        <w:r w:rsidRPr="00880E98" w:rsidDel="009E361F">
          <w:delText>doit être</w:delText>
        </w:r>
      </w:del>
      <w:del w:id="14" w:author="Manouvrier, Yves" w:date="2015-10-02T14:33:00Z">
        <w:r w:rsidRPr="00880E98" w:rsidDel="00921D34">
          <w:delText xml:space="preserve"> celle </w:delText>
        </w:r>
      </w:del>
      <w:del w:id="15" w:author="Manouvrier, Yves" w:date="2015-10-02T14:28:00Z">
        <w:r w:rsidRPr="00880E98" w:rsidDel="009E361F">
          <w:delText>du</w:delText>
        </w:r>
      </w:del>
      <w:ins w:id="16" w:author="Manouvrier, Yves" w:date="2015-10-02T14:33:00Z">
        <w:r w:rsidR="00921D34">
          <w:t>est la date au</w:t>
        </w:r>
      </w:ins>
      <w:r w:rsidRPr="00880E98">
        <w:t xml:space="preserve"> méridien d'origine</w:t>
      </w:r>
      <w:del w:id="17" w:author="Manouvrier, Yves" w:date="2015-10-02T14:27:00Z">
        <w:r w:rsidRPr="00880E98" w:rsidDel="009E361F">
          <w:delText xml:space="preserve"> au moment approprié</w:delText>
        </w:r>
      </w:del>
      <w:r w:rsidRPr="00880E98">
        <w:t>, le méridien d'origine correspondant à une longitude géographique de zéro degré.</w:t>
      </w:r>
    </w:p>
    <w:p w:rsidR="004F09AD" w:rsidRDefault="004F09AD">
      <w:pPr>
        <w:pStyle w:val="Reasons"/>
      </w:pPr>
    </w:p>
    <w:p w:rsidR="004F09AD" w:rsidRDefault="004B79A3">
      <w:pPr>
        <w:pStyle w:val="Proposal"/>
      </w:pPr>
      <w:r>
        <w:t>MOD</w:t>
      </w:r>
      <w:r>
        <w:tab/>
        <w:t>ASP/32A14/3</w:t>
      </w:r>
    </w:p>
    <w:p w:rsidR="00A861F7" w:rsidRPr="00880E98" w:rsidRDefault="004B79A3">
      <w:r w:rsidRPr="009D3550">
        <w:rPr>
          <w:rStyle w:val="Artdef"/>
        </w:rPr>
        <w:t>2.6</w:t>
      </w:r>
      <w:r w:rsidRPr="0061407F">
        <w:tab/>
      </w:r>
      <w:r w:rsidRPr="00880E98">
        <w:tab/>
      </w:r>
      <w:del w:id="18" w:author="Manouvrier, Yves" w:date="2015-10-02T14:30:00Z">
        <w:r w:rsidRPr="00880E98" w:rsidDel="009E361F">
          <w:delText>Sauf indication contraire, c</w:delText>
        </w:r>
      </w:del>
      <w:ins w:id="19" w:author="Manouvrier, Yves" w:date="2015-10-02T14:30:00Z">
        <w:r w:rsidR="009E361F">
          <w:t>C</w:t>
        </w:r>
      </w:ins>
      <w:r w:rsidRPr="00880E98">
        <w:t>haque fois qu'une heure spécifiée est utilisée dans des activités internationales de radiocommunication, l'UTC est applicable; l'heure doit être présentée sous la forme d'un groupe de quatre chiffres (0000-2359). L'abréviation UTC doit être utilisée dans toutes les langues.</w:t>
      </w:r>
    </w:p>
    <w:p w:rsidR="004F09AD" w:rsidRDefault="004F09AD">
      <w:pPr>
        <w:pStyle w:val="Reasons"/>
      </w:pPr>
    </w:p>
    <w:p w:rsidR="00A861F7" w:rsidRPr="00F26F2F" w:rsidRDefault="004B79A3">
      <w:pPr>
        <w:pStyle w:val="ArtNo"/>
        <w:keepLines w:val="0"/>
        <w:rPr>
          <w:lang w:val="fr-CH"/>
        </w:rPr>
        <w:pPrChange w:id="20" w:author="Manouvrier, Yves" w:date="2015-10-02T14:34:00Z">
          <w:pPr>
            <w:pStyle w:val="ArtNo"/>
            <w:keepNext w:val="0"/>
            <w:keepLines w:val="0"/>
          </w:pPr>
        </w:pPrChange>
      </w:pPr>
      <w:r>
        <w:rPr>
          <w:lang w:val="fr-CH"/>
        </w:rPr>
        <w:t xml:space="preserve">ARTICLE </w:t>
      </w:r>
      <w:r w:rsidRPr="003F1FD8">
        <w:rPr>
          <w:rStyle w:val="href"/>
        </w:rPr>
        <w:t>59</w:t>
      </w:r>
    </w:p>
    <w:p w:rsidR="00A861F7" w:rsidRPr="00F26F2F" w:rsidRDefault="004B79A3" w:rsidP="00623CB4">
      <w:pPr>
        <w:pStyle w:val="Arttitle"/>
        <w:keepLines w:val="0"/>
        <w:rPr>
          <w:lang w:val="fr-CH"/>
        </w:rPr>
      </w:pPr>
      <w:r w:rsidRPr="00F26F2F">
        <w:rPr>
          <w:lang w:val="fr-CH"/>
        </w:rPr>
        <w:t>Entrée en vigueur et application provisoire du</w:t>
      </w:r>
      <w:r w:rsidRPr="00F26F2F">
        <w:rPr>
          <w:lang w:val="fr-CH"/>
        </w:rPr>
        <w:br/>
        <w:t>Règlement des radiocommunications</w:t>
      </w:r>
      <w:r w:rsidRPr="00F26F2F">
        <w:rPr>
          <w:b w:val="0"/>
          <w:bCs/>
          <w:sz w:val="16"/>
          <w:szCs w:val="16"/>
          <w:lang w:val="fr-CH"/>
        </w:rPr>
        <w:t>     (CMR-</w:t>
      </w:r>
      <w:r w:rsidR="007D0C94">
        <w:rPr>
          <w:b w:val="0"/>
          <w:bCs/>
          <w:sz w:val="16"/>
          <w:szCs w:val="16"/>
          <w:lang w:val="fr-CH"/>
        </w:rPr>
        <w:t>12</w:t>
      </w:r>
      <w:r w:rsidRPr="00F26F2F">
        <w:rPr>
          <w:b w:val="0"/>
          <w:bCs/>
          <w:sz w:val="16"/>
          <w:szCs w:val="16"/>
          <w:lang w:val="fr-CH"/>
        </w:rPr>
        <w:t>)</w:t>
      </w:r>
    </w:p>
    <w:p w:rsidR="004F09AD" w:rsidRDefault="004B79A3">
      <w:pPr>
        <w:pStyle w:val="Proposal"/>
      </w:pPr>
      <w:r>
        <w:t>MOD</w:t>
      </w:r>
      <w:r>
        <w:tab/>
        <w:t>ASP/32A14/4</w:t>
      </w:r>
      <w:bookmarkStart w:id="21" w:name="_GoBack"/>
      <w:bookmarkEnd w:id="21"/>
    </w:p>
    <w:p w:rsidR="00A861F7" w:rsidRPr="00047471" w:rsidRDefault="004B79A3" w:rsidP="002F6490">
      <w:pPr>
        <w:rPr>
          <w:lang w:val="fr-CH"/>
        </w:rPr>
      </w:pPr>
      <w:r w:rsidRPr="00F26F2F">
        <w:rPr>
          <w:rStyle w:val="Artdef"/>
          <w:lang w:val="fr-CH"/>
        </w:rPr>
        <w:t>59.1</w:t>
      </w:r>
      <w:r w:rsidRPr="00F26F2F">
        <w:rPr>
          <w:lang w:val="fr-CH"/>
        </w:rPr>
        <w:tab/>
      </w:r>
      <w:r w:rsidRPr="00F26F2F">
        <w:rPr>
          <w:lang w:val="fr-CH"/>
        </w:rPr>
        <w:tab/>
      </w:r>
      <w:r w:rsidR="00921D34" w:rsidRPr="00F26F2F">
        <w:rPr>
          <w:lang w:val="fr-CH"/>
        </w:rPr>
        <w:t>Le présent Règlement, qui complète les dispositions de la Constitution et de la Convention de l</w:t>
      </w:r>
      <w:r w:rsidR="00921D34">
        <w:rPr>
          <w:lang w:val="fr-CH"/>
        </w:rPr>
        <w:t>'</w:t>
      </w:r>
      <w:r w:rsidR="00921D34" w:rsidRPr="00F26F2F">
        <w:rPr>
          <w:lang w:val="fr-CH"/>
        </w:rPr>
        <w:t>Union internationale des télécommunications, tel qu</w:t>
      </w:r>
      <w:r w:rsidR="00921D34">
        <w:rPr>
          <w:lang w:val="fr-CH"/>
        </w:rPr>
        <w:t>'</w:t>
      </w:r>
      <w:r w:rsidR="00921D34" w:rsidRPr="00F26F2F">
        <w:rPr>
          <w:lang w:val="fr-CH"/>
        </w:rPr>
        <w:t>il a été révisé et tel qu</w:t>
      </w:r>
      <w:r w:rsidR="00921D34">
        <w:rPr>
          <w:lang w:val="fr-CH"/>
        </w:rPr>
        <w:t>'</w:t>
      </w:r>
      <w:r w:rsidR="00921D34" w:rsidRPr="00F26F2F">
        <w:rPr>
          <w:lang w:val="fr-CH"/>
        </w:rPr>
        <w:t>il figure dans les Actes finals de la CMR-95, de la CMR-97, de la CMR-2000, de la CMR-03, de la CMR</w:t>
      </w:r>
      <w:r w:rsidR="00921D34" w:rsidRPr="00F26F2F">
        <w:rPr>
          <w:lang w:val="fr-CH"/>
        </w:rPr>
        <w:noBreakHyphen/>
        <w:t>07</w:t>
      </w:r>
      <w:del w:id="22" w:author="Royer, Veronique" w:date="2014-05-28T15:20:00Z">
        <w:r w:rsidR="00921D34" w:rsidRPr="00F26F2F" w:rsidDel="004B2FA4">
          <w:rPr>
            <w:lang w:val="fr-CH"/>
          </w:rPr>
          <w:delText xml:space="preserve"> et</w:delText>
        </w:r>
      </w:del>
      <w:ins w:id="23" w:author="Royer, Veronique" w:date="2014-05-28T15:20:00Z">
        <w:r w:rsidR="00921D34">
          <w:rPr>
            <w:lang w:val="fr-CH"/>
          </w:rPr>
          <w:t>,</w:t>
        </w:r>
      </w:ins>
      <w:r w:rsidR="00921D34" w:rsidRPr="00F26F2F">
        <w:rPr>
          <w:lang w:val="fr-CH"/>
        </w:rPr>
        <w:t xml:space="preserve"> de la CMR</w:t>
      </w:r>
      <w:r w:rsidR="00921D34" w:rsidRPr="00F26F2F">
        <w:rPr>
          <w:lang w:val="fr-CH"/>
        </w:rPr>
        <w:noBreakHyphen/>
        <w:t>12</w:t>
      </w:r>
      <w:ins w:id="24" w:author="Royer, Veronique" w:date="2014-05-28T15:20:00Z">
        <w:r w:rsidR="00921D34">
          <w:rPr>
            <w:lang w:val="fr-CH"/>
          </w:rPr>
          <w:t xml:space="preserve"> et de la CMR-15</w:t>
        </w:r>
      </w:ins>
      <w:r w:rsidR="00921D34" w:rsidRPr="00F26F2F">
        <w:rPr>
          <w:lang w:val="fr-CH"/>
        </w:rPr>
        <w:t>, s</w:t>
      </w:r>
      <w:r w:rsidR="00921D34">
        <w:rPr>
          <w:lang w:val="fr-CH"/>
        </w:rPr>
        <w:t>'</w:t>
      </w:r>
      <w:r w:rsidR="00921D34" w:rsidRPr="00F26F2F">
        <w:rPr>
          <w:lang w:val="fr-CH"/>
        </w:rPr>
        <w:t>applique, en vertu de l</w:t>
      </w:r>
      <w:r w:rsidR="00921D34">
        <w:rPr>
          <w:lang w:val="fr-CH"/>
        </w:rPr>
        <w:t>'</w:t>
      </w:r>
      <w:r w:rsidR="00921D34" w:rsidRPr="00F26F2F">
        <w:rPr>
          <w:lang w:val="fr-CH"/>
        </w:rPr>
        <w:t>article 54 de la Constitution, conformément aux dispositions suivantes.</w:t>
      </w:r>
      <w:r w:rsidR="00921D34" w:rsidRPr="00857C76">
        <w:rPr>
          <w:sz w:val="16"/>
          <w:szCs w:val="16"/>
          <w:lang w:eastAsia="ja-JP"/>
        </w:rPr>
        <w:t>  </w:t>
      </w:r>
      <w:r w:rsidR="00921D34">
        <w:rPr>
          <w:sz w:val="16"/>
          <w:szCs w:val="16"/>
          <w:lang w:eastAsia="ja-JP"/>
        </w:rPr>
        <w:t> </w:t>
      </w:r>
      <w:r w:rsidR="00921D34" w:rsidRPr="00857C76">
        <w:rPr>
          <w:sz w:val="16"/>
          <w:szCs w:val="16"/>
          <w:lang w:eastAsia="ja-JP"/>
        </w:rPr>
        <w:t>  </w:t>
      </w:r>
      <w:r w:rsidR="00921D34">
        <w:rPr>
          <w:sz w:val="16"/>
          <w:lang w:val="fr-CH"/>
        </w:rPr>
        <w:t>(CMR-</w:t>
      </w:r>
      <w:del w:id="25" w:author="Royer, Veronique" w:date="2014-05-28T15:19:00Z">
        <w:r w:rsidR="00921D34" w:rsidRPr="00F26F2F" w:rsidDel="004B2FA4">
          <w:rPr>
            <w:sz w:val="16"/>
            <w:lang w:val="fr-CH"/>
          </w:rPr>
          <w:delText>12</w:delText>
        </w:r>
      </w:del>
      <w:ins w:id="26" w:author="Royer, Veronique" w:date="2014-05-28T15:19:00Z">
        <w:r w:rsidR="00921D34">
          <w:rPr>
            <w:sz w:val="16"/>
            <w:lang w:val="fr-CH"/>
          </w:rPr>
          <w:t>15</w:t>
        </w:r>
      </w:ins>
      <w:r w:rsidR="00921D34" w:rsidRPr="00F26F2F">
        <w:rPr>
          <w:sz w:val="16"/>
          <w:lang w:val="fr-CH"/>
        </w:rPr>
        <w:t>)</w:t>
      </w:r>
    </w:p>
    <w:p w:rsidR="004F09AD" w:rsidRPr="00047471" w:rsidRDefault="004F09AD">
      <w:pPr>
        <w:pStyle w:val="Reasons"/>
        <w:rPr>
          <w:lang w:val="fr-CH"/>
        </w:rPr>
      </w:pPr>
    </w:p>
    <w:p w:rsidR="004F09AD" w:rsidRPr="00047471" w:rsidRDefault="004B79A3">
      <w:pPr>
        <w:pStyle w:val="Proposal"/>
        <w:rPr>
          <w:lang w:val="fr-CH"/>
        </w:rPr>
      </w:pPr>
      <w:r w:rsidRPr="00047471">
        <w:rPr>
          <w:lang w:val="fr-CH"/>
        </w:rPr>
        <w:t>ADD</w:t>
      </w:r>
      <w:r w:rsidRPr="00047471">
        <w:rPr>
          <w:lang w:val="fr-CH"/>
        </w:rPr>
        <w:tab/>
        <w:t>ASP/32A14/5</w:t>
      </w:r>
    </w:p>
    <w:p w:rsidR="004F09AD" w:rsidRPr="00921D34" w:rsidRDefault="004B79A3" w:rsidP="002F6490">
      <w:pPr>
        <w:rPr>
          <w:lang w:val="fr-CH"/>
        </w:rPr>
      </w:pPr>
      <w:r w:rsidRPr="00921D34">
        <w:rPr>
          <w:rStyle w:val="Artdef"/>
          <w:lang w:val="fr-CH"/>
        </w:rPr>
        <w:t>59.A114</w:t>
      </w:r>
      <w:r w:rsidRPr="00921D34">
        <w:rPr>
          <w:lang w:val="fr-CH"/>
        </w:rPr>
        <w:tab/>
      </w:r>
      <w:r w:rsidR="00921D34">
        <w:rPr>
          <w:lang w:val="fr-CH"/>
        </w:rPr>
        <w:t>Les autres dispositions du présent Règlement, tel qu'il a été révisé par la CMR</w:t>
      </w:r>
      <w:r w:rsidR="00921D34">
        <w:rPr>
          <w:lang w:val="fr-CH"/>
        </w:rPr>
        <w:noBreakHyphen/>
        <w:t>15, entreront en vigueur à compter du 1er janvier 2017, sauf:</w:t>
      </w:r>
      <w:r w:rsidR="00921D34" w:rsidRPr="00ED5EA9">
        <w:rPr>
          <w:sz w:val="16"/>
          <w:szCs w:val="16"/>
          <w:lang w:eastAsia="ja-JP"/>
        </w:rPr>
        <w:t xml:space="preserve"> </w:t>
      </w:r>
      <w:r w:rsidR="00921D34" w:rsidRPr="00857C76">
        <w:rPr>
          <w:sz w:val="16"/>
          <w:szCs w:val="16"/>
          <w:lang w:eastAsia="ja-JP"/>
        </w:rPr>
        <w:t>  </w:t>
      </w:r>
      <w:r w:rsidR="00921D34">
        <w:rPr>
          <w:sz w:val="16"/>
          <w:szCs w:val="16"/>
          <w:lang w:eastAsia="ja-JP"/>
        </w:rPr>
        <w:t> </w:t>
      </w:r>
      <w:r w:rsidR="00921D34" w:rsidRPr="00857C76">
        <w:rPr>
          <w:sz w:val="16"/>
          <w:szCs w:val="16"/>
          <w:lang w:eastAsia="ja-JP"/>
        </w:rPr>
        <w:t>  </w:t>
      </w:r>
      <w:r w:rsidR="00921D34">
        <w:rPr>
          <w:sz w:val="16"/>
          <w:szCs w:val="16"/>
        </w:rPr>
        <w:t>(CMR-15</w:t>
      </w:r>
      <w:r w:rsidR="00921D34" w:rsidRPr="00994B0A">
        <w:rPr>
          <w:sz w:val="16"/>
          <w:szCs w:val="16"/>
        </w:rPr>
        <w:t>)</w:t>
      </w:r>
    </w:p>
    <w:p w:rsidR="004F09AD" w:rsidRPr="00921D34" w:rsidRDefault="004F09AD">
      <w:pPr>
        <w:pStyle w:val="Reasons"/>
        <w:rPr>
          <w:lang w:val="fr-CH"/>
        </w:rPr>
      </w:pPr>
    </w:p>
    <w:p w:rsidR="004F09AD" w:rsidRPr="00A861F7" w:rsidRDefault="004B79A3">
      <w:pPr>
        <w:pStyle w:val="Proposal"/>
        <w:rPr>
          <w:lang w:val="fr-CH"/>
        </w:rPr>
      </w:pPr>
      <w:r w:rsidRPr="00A861F7">
        <w:rPr>
          <w:lang w:val="fr-CH"/>
        </w:rPr>
        <w:t>ADD</w:t>
      </w:r>
      <w:r w:rsidRPr="00A861F7">
        <w:rPr>
          <w:lang w:val="fr-CH"/>
        </w:rPr>
        <w:tab/>
        <w:t>ASP/32A14/6</w:t>
      </w:r>
    </w:p>
    <w:p w:rsidR="00616D8F" w:rsidRDefault="004B79A3" w:rsidP="00A404AA">
      <w:pPr>
        <w:tabs>
          <w:tab w:val="clear" w:pos="1134"/>
          <w:tab w:val="left" w:pos="1985"/>
        </w:tabs>
        <w:ind w:left="1134" w:hanging="1134"/>
      </w:pPr>
      <w:r w:rsidRPr="00921D34">
        <w:rPr>
          <w:rStyle w:val="Artdef"/>
          <w:lang w:val="fr-CH"/>
        </w:rPr>
        <w:t>59.B114</w:t>
      </w:r>
      <w:r w:rsidRPr="00921D34">
        <w:rPr>
          <w:lang w:val="fr-CH"/>
        </w:rPr>
        <w:tab/>
      </w:r>
      <w:r w:rsidR="00616D8F">
        <w:t>–</w:t>
      </w:r>
      <w:r w:rsidR="00616D8F">
        <w:tab/>
      </w:r>
      <w:r w:rsidR="00921D34" w:rsidRPr="00616D8F">
        <w:rPr>
          <w:rStyle w:val="enumlev1Char"/>
        </w:rPr>
        <w:t xml:space="preserve">les dispositions révisées pour lesquelles d'autres dates d'application effectives </w:t>
      </w:r>
      <w:r w:rsidR="00A404AA">
        <w:rPr>
          <w:rStyle w:val="enumlev1Char"/>
        </w:rPr>
        <w:tab/>
      </w:r>
      <w:r w:rsidR="00921D34" w:rsidRPr="00616D8F">
        <w:rPr>
          <w:rStyle w:val="enumlev1Char"/>
        </w:rPr>
        <w:t>sont indiquées dans la Résolution:</w:t>
      </w:r>
    </w:p>
    <w:p w:rsidR="004F09AD" w:rsidRPr="00F54F7F" w:rsidRDefault="00616D8F" w:rsidP="00616D8F">
      <w:pPr>
        <w:pStyle w:val="enumlev1"/>
        <w:rPr>
          <w:lang w:val="en-US"/>
        </w:rPr>
      </w:pPr>
      <w:r>
        <w:tab/>
      </w:r>
      <w:r>
        <w:tab/>
      </w:r>
      <w:r w:rsidR="00921D34" w:rsidRPr="00F54F7F">
        <w:rPr>
          <w:b/>
          <w:bCs/>
          <w:lang w:val="en-US"/>
        </w:rPr>
        <w:t>[</w:t>
      </w:r>
      <w:r w:rsidR="00400FA8" w:rsidRPr="00F54F7F">
        <w:rPr>
          <w:b/>
          <w:bCs/>
          <w:lang w:val="en-US"/>
        </w:rPr>
        <w:t>ASP-</w:t>
      </w:r>
      <w:r w:rsidR="00921D34" w:rsidRPr="00F54F7F">
        <w:rPr>
          <w:b/>
          <w:bCs/>
          <w:lang w:val="en-US"/>
        </w:rPr>
        <w:t>A114-UTC] (CMR</w:t>
      </w:r>
      <w:r w:rsidR="00921D34" w:rsidRPr="00F54F7F">
        <w:rPr>
          <w:b/>
          <w:bCs/>
          <w:lang w:val="en-US"/>
        </w:rPr>
        <w:noBreakHyphen/>
        <w:t>15)</w:t>
      </w:r>
      <w:r w:rsidR="00921D34" w:rsidRPr="00F54F7F">
        <w:rPr>
          <w:sz w:val="16"/>
          <w:szCs w:val="16"/>
          <w:lang w:val="en-US"/>
        </w:rPr>
        <w:t>  </w:t>
      </w:r>
      <w:r w:rsidR="002F6490" w:rsidRPr="00F54F7F">
        <w:rPr>
          <w:sz w:val="16"/>
          <w:szCs w:val="16"/>
          <w:lang w:val="en-US"/>
        </w:rPr>
        <w:t> </w:t>
      </w:r>
      <w:r w:rsidR="00921D34" w:rsidRPr="00F54F7F">
        <w:rPr>
          <w:sz w:val="16"/>
          <w:szCs w:val="16"/>
          <w:lang w:val="en-US"/>
        </w:rPr>
        <w:t>  (CMR</w:t>
      </w:r>
      <w:r w:rsidR="00921D34" w:rsidRPr="00F54F7F">
        <w:rPr>
          <w:sz w:val="16"/>
          <w:szCs w:val="16"/>
          <w:lang w:val="en-US"/>
        </w:rPr>
        <w:noBreakHyphen/>
        <w:t>15)</w:t>
      </w:r>
    </w:p>
    <w:p w:rsidR="004F09AD" w:rsidRPr="00F54F7F" w:rsidRDefault="004F09AD">
      <w:pPr>
        <w:pStyle w:val="Reasons"/>
        <w:rPr>
          <w:lang w:val="en-US"/>
        </w:rPr>
      </w:pPr>
    </w:p>
    <w:p w:rsidR="004F09AD" w:rsidRPr="00F54F7F" w:rsidRDefault="004B79A3">
      <w:pPr>
        <w:pStyle w:val="Proposal"/>
        <w:rPr>
          <w:lang w:val="en-US"/>
        </w:rPr>
      </w:pPr>
      <w:r w:rsidRPr="00F54F7F">
        <w:rPr>
          <w:lang w:val="en-US"/>
        </w:rPr>
        <w:lastRenderedPageBreak/>
        <w:t>ADD</w:t>
      </w:r>
      <w:r w:rsidRPr="00F54F7F">
        <w:rPr>
          <w:lang w:val="en-US"/>
        </w:rPr>
        <w:tab/>
        <w:t>ASP/32A14/7</w:t>
      </w:r>
    </w:p>
    <w:p w:rsidR="004F09AD" w:rsidRDefault="004B79A3">
      <w:pPr>
        <w:pStyle w:val="ResNo"/>
      </w:pPr>
      <w:r>
        <w:t>Projet de nouvelle Résolution [ASP-A114-UTC]</w:t>
      </w:r>
      <w:r w:rsidR="00921D34">
        <w:t xml:space="preserve"> (CMR-15)</w:t>
      </w:r>
    </w:p>
    <w:p w:rsidR="00921D34" w:rsidRDefault="00921D34" w:rsidP="00921D34">
      <w:pPr>
        <w:pStyle w:val="ResTitle0"/>
        <w:rPr>
          <w:lang w:val="fr-FR"/>
        </w:rPr>
      </w:pPr>
      <w:r w:rsidRPr="00D16539">
        <w:rPr>
          <w:lang w:val="fr-FR"/>
        </w:rPr>
        <w:t>Application provisoire de certaines dispositions du Règlement</w:t>
      </w:r>
      <w:r>
        <w:rPr>
          <w:lang w:val="fr-FR"/>
        </w:rPr>
        <w:t xml:space="preserve"> </w:t>
      </w:r>
      <w:r w:rsidRPr="00D16539">
        <w:rPr>
          <w:lang w:val="fr-FR"/>
        </w:rPr>
        <w:t>des radiocommunications, t</w:t>
      </w:r>
      <w:r>
        <w:rPr>
          <w:lang w:val="fr-FR"/>
        </w:rPr>
        <w:t>elles que révisées par la CMR-15</w:t>
      </w:r>
      <w:r w:rsidRPr="00D16539">
        <w:rPr>
          <w:lang w:val="fr-FR"/>
        </w:rPr>
        <w:t>,</w:t>
      </w:r>
      <w:r>
        <w:rPr>
          <w:lang w:val="fr-FR"/>
        </w:rPr>
        <w:t xml:space="preserve"> et </w:t>
      </w:r>
      <w:r>
        <w:rPr>
          <w:lang w:val="fr-FR"/>
        </w:rPr>
        <w:br/>
        <w:t xml:space="preserve">abrogation de </w:t>
      </w:r>
      <w:r w:rsidRPr="00D16539">
        <w:rPr>
          <w:lang w:val="fr-FR"/>
        </w:rPr>
        <w:t>certaines Résolutions et Recommandations</w:t>
      </w:r>
    </w:p>
    <w:p w:rsidR="00BA4264" w:rsidRPr="00BA4264" w:rsidRDefault="00BA4264" w:rsidP="00BA4264">
      <w:r>
        <w:t>La Conférence mondiale des radiocommunications (Genève, 2015),</w:t>
      </w:r>
    </w:p>
    <w:p w:rsidR="00921D34" w:rsidRPr="00F26F2F" w:rsidRDefault="00921D34" w:rsidP="00921D34">
      <w:pPr>
        <w:pStyle w:val="Call"/>
        <w:rPr>
          <w:lang w:val="fr-CH"/>
        </w:rPr>
      </w:pPr>
      <w:r w:rsidRPr="00F26F2F">
        <w:rPr>
          <w:lang w:val="fr-CH"/>
        </w:rPr>
        <w:t>considérant</w:t>
      </w:r>
    </w:p>
    <w:p w:rsidR="00921D34" w:rsidRPr="00F26F2F" w:rsidRDefault="00921D34" w:rsidP="00921D34">
      <w:pPr>
        <w:rPr>
          <w:lang w:val="fr-CH"/>
        </w:rPr>
      </w:pPr>
      <w:r w:rsidRPr="00F26F2F">
        <w:rPr>
          <w:i/>
          <w:iCs/>
          <w:lang w:val="fr-CH"/>
        </w:rPr>
        <w:t>a)</w:t>
      </w:r>
      <w:r w:rsidRPr="00F26F2F">
        <w:rPr>
          <w:i/>
          <w:iCs/>
          <w:lang w:val="fr-CH"/>
        </w:rPr>
        <w:tab/>
      </w:r>
      <w:r w:rsidRPr="00F26F2F">
        <w:rPr>
          <w:lang w:val="fr-CH"/>
        </w:rPr>
        <w:t>que la présente Conférence a adopté, conformément à son mandat, une révision partielle du Règlement des radiocommunications</w:t>
      </w:r>
      <w:r>
        <w:rPr>
          <w:lang w:val="fr-CH"/>
        </w:rPr>
        <w:t>, qui entrera en vigueur le 1er janvier 2017</w:t>
      </w:r>
      <w:r w:rsidRPr="00F26F2F">
        <w:rPr>
          <w:lang w:val="fr-CH"/>
        </w:rPr>
        <w:t>;</w:t>
      </w:r>
    </w:p>
    <w:p w:rsidR="00921D34" w:rsidRPr="00F26F2F" w:rsidRDefault="00921D34" w:rsidP="00921D34">
      <w:pPr>
        <w:rPr>
          <w:lang w:val="fr-CH"/>
        </w:rPr>
      </w:pPr>
      <w:r w:rsidRPr="00F26F2F">
        <w:rPr>
          <w:i/>
          <w:iCs/>
          <w:lang w:val="fr-CH"/>
        </w:rPr>
        <w:t>b)</w:t>
      </w:r>
      <w:r w:rsidRPr="00F26F2F">
        <w:rPr>
          <w:i/>
          <w:iCs/>
          <w:lang w:val="fr-CH"/>
        </w:rPr>
        <w:tab/>
      </w:r>
      <w:r w:rsidRPr="00F26F2F">
        <w:rPr>
          <w:lang w:val="fr-CH"/>
        </w:rPr>
        <w:t>qu</w:t>
      </w:r>
      <w:r>
        <w:rPr>
          <w:lang w:val="fr-CH"/>
        </w:rPr>
        <w:t>'</w:t>
      </w:r>
      <w:r w:rsidRPr="00F26F2F">
        <w:rPr>
          <w:lang w:val="fr-CH"/>
        </w:rPr>
        <w:t>il est nécessaire d</w:t>
      </w:r>
      <w:r>
        <w:rPr>
          <w:lang w:val="fr-CH"/>
        </w:rPr>
        <w:t>'</w:t>
      </w:r>
      <w:r w:rsidRPr="00F26F2F">
        <w:rPr>
          <w:lang w:val="fr-CH"/>
        </w:rPr>
        <w:t>appliquer provisoirement avant cette date certaines dispositions, telles que modifiées par la présente Conférence;</w:t>
      </w:r>
    </w:p>
    <w:p w:rsidR="00921D34" w:rsidRDefault="00921D34" w:rsidP="00921D34">
      <w:pPr>
        <w:rPr>
          <w:i/>
          <w:iCs/>
          <w:lang w:val="fr-CH"/>
        </w:rPr>
      </w:pPr>
      <w:r w:rsidRPr="00F26F2F">
        <w:rPr>
          <w:i/>
          <w:iCs/>
          <w:lang w:val="fr-CH"/>
        </w:rPr>
        <w:t>c)</w:t>
      </w:r>
      <w:r w:rsidRPr="00F26F2F">
        <w:rPr>
          <w:i/>
          <w:iCs/>
          <w:lang w:val="fr-CH"/>
        </w:rPr>
        <w:tab/>
      </w:r>
      <w:r w:rsidRPr="00F26F2F">
        <w:rPr>
          <w:lang w:val="fr-CH"/>
        </w:rPr>
        <w:t>qu</w:t>
      </w:r>
      <w:r>
        <w:rPr>
          <w:lang w:val="fr-CH"/>
        </w:rPr>
        <w:t>'</w:t>
      </w:r>
      <w:r w:rsidRPr="00F26F2F">
        <w:rPr>
          <w:lang w:val="fr-CH"/>
        </w:rPr>
        <w:t>il est nécessaire d</w:t>
      </w:r>
      <w:r>
        <w:rPr>
          <w:lang w:val="fr-CH"/>
        </w:rPr>
        <w:t>'</w:t>
      </w:r>
      <w:r w:rsidRPr="00F26F2F">
        <w:rPr>
          <w:lang w:val="fr-CH"/>
        </w:rPr>
        <w:t xml:space="preserve">appliquer </w:t>
      </w:r>
      <w:r>
        <w:rPr>
          <w:lang w:val="fr-CH"/>
        </w:rPr>
        <w:t>après</w:t>
      </w:r>
      <w:r w:rsidRPr="00F26F2F">
        <w:rPr>
          <w:lang w:val="fr-CH"/>
        </w:rPr>
        <w:t xml:space="preserve"> cette date certaines dispositions, telles que modifiées par la présente Conférence;</w:t>
      </w:r>
    </w:p>
    <w:p w:rsidR="00921D34" w:rsidRPr="00F26F2F" w:rsidRDefault="00921D34" w:rsidP="00921D34">
      <w:pPr>
        <w:rPr>
          <w:lang w:val="fr-CH"/>
        </w:rPr>
      </w:pPr>
      <w:r>
        <w:rPr>
          <w:i/>
          <w:iCs/>
          <w:lang w:val="fr-CH"/>
        </w:rPr>
        <w:t>d)</w:t>
      </w:r>
      <w:r>
        <w:rPr>
          <w:i/>
          <w:iCs/>
          <w:lang w:val="fr-CH"/>
        </w:rPr>
        <w:tab/>
      </w:r>
      <w:r w:rsidRPr="00F26F2F">
        <w:rPr>
          <w:lang w:val="fr-CH"/>
        </w:rPr>
        <w:t>qu</w:t>
      </w:r>
      <w:r>
        <w:rPr>
          <w:lang w:val="fr-CH"/>
        </w:rPr>
        <w:t>'</w:t>
      </w:r>
      <w:r w:rsidRPr="00F26F2F">
        <w:rPr>
          <w:lang w:val="fr-CH"/>
        </w:rPr>
        <w:t>en règle générale, les Résolutions et Recommandations nouvelles ou révisées entrent en vigueur au moment de la signature des Actes finals d</w:t>
      </w:r>
      <w:r>
        <w:rPr>
          <w:lang w:val="fr-CH"/>
        </w:rPr>
        <w:t>'</w:t>
      </w:r>
      <w:r w:rsidRPr="00F26F2F">
        <w:rPr>
          <w:lang w:val="fr-CH"/>
        </w:rPr>
        <w:t>une conférence;</w:t>
      </w:r>
    </w:p>
    <w:p w:rsidR="00921D34" w:rsidRPr="00F26F2F" w:rsidRDefault="00921D34" w:rsidP="00921D34">
      <w:pPr>
        <w:rPr>
          <w:lang w:val="fr-CH"/>
        </w:rPr>
      </w:pPr>
      <w:r>
        <w:rPr>
          <w:i/>
          <w:iCs/>
          <w:lang w:val="fr-CH"/>
        </w:rPr>
        <w:t>e</w:t>
      </w:r>
      <w:r w:rsidRPr="00F26F2F">
        <w:rPr>
          <w:i/>
          <w:iCs/>
          <w:lang w:val="fr-CH"/>
        </w:rPr>
        <w:t>)</w:t>
      </w:r>
      <w:r w:rsidRPr="00F26F2F">
        <w:rPr>
          <w:i/>
          <w:iCs/>
          <w:lang w:val="fr-CH"/>
        </w:rPr>
        <w:tab/>
      </w:r>
      <w:r w:rsidRPr="00F26F2F">
        <w:rPr>
          <w:lang w:val="fr-CH"/>
        </w:rPr>
        <w:t>qu</w:t>
      </w:r>
      <w:r>
        <w:rPr>
          <w:lang w:val="fr-CH"/>
        </w:rPr>
        <w:t>'</w:t>
      </w:r>
      <w:r w:rsidRPr="00F26F2F">
        <w:rPr>
          <w:lang w:val="fr-CH"/>
        </w:rPr>
        <w:t>en règle générale, les Résolutions et Recommandations qu</w:t>
      </w:r>
      <w:r>
        <w:rPr>
          <w:lang w:val="fr-CH"/>
        </w:rPr>
        <w:t>'</w:t>
      </w:r>
      <w:r w:rsidRPr="00F26F2F">
        <w:rPr>
          <w:lang w:val="fr-CH"/>
        </w:rPr>
        <w:t>une CMR a décidé de supprimer sont abrogées au moment de la signature des Actes finals de la conférence,</w:t>
      </w:r>
    </w:p>
    <w:p w:rsidR="00921D34" w:rsidRPr="00F26F2F" w:rsidRDefault="00921D34" w:rsidP="00921D34">
      <w:pPr>
        <w:pStyle w:val="Call"/>
        <w:rPr>
          <w:lang w:val="fr-CH"/>
        </w:rPr>
      </w:pPr>
      <w:r w:rsidRPr="00F26F2F">
        <w:rPr>
          <w:lang w:val="fr-CH"/>
        </w:rPr>
        <w:t>décide</w:t>
      </w:r>
    </w:p>
    <w:p w:rsidR="00921D34" w:rsidRDefault="00921D34" w:rsidP="00921D34">
      <w:pPr>
        <w:rPr>
          <w:lang w:val="fr-CH"/>
        </w:rPr>
      </w:pPr>
      <w:r w:rsidRPr="00F26F2F">
        <w:rPr>
          <w:lang w:val="fr-CH"/>
        </w:rPr>
        <w:t xml:space="preserve">que, à compter du </w:t>
      </w:r>
      <w:r>
        <w:rPr>
          <w:lang w:val="fr-CH"/>
        </w:rPr>
        <w:t>1er janvier [à déterminer par la CMR-15]</w:t>
      </w:r>
      <w:r w:rsidRPr="00F26F2F">
        <w:rPr>
          <w:lang w:val="fr-CH"/>
        </w:rPr>
        <w:t xml:space="preserve">, </w:t>
      </w:r>
      <w:r w:rsidRPr="001F5F57">
        <w:rPr>
          <w:lang w:val="fr-CH"/>
        </w:rPr>
        <w:t xml:space="preserve">les numéros </w:t>
      </w:r>
      <w:r w:rsidRPr="001F5F57">
        <w:rPr>
          <w:b/>
          <w:lang w:val="fr-CH"/>
        </w:rPr>
        <w:t>1.14</w:t>
      </w:r>
      <w:r w:rsidRPr="001F5F57">
        <w:rPr>
          <w:lang w:val="fr-CH"/>
        </w:rPr>
        <w:t xml:space="preserve">, </w:t>
      </w:r>
      <w:r w:rsidRPr="001F5F57">
        <w:rPr>
          <w:b/>
          <w:lang w:val="fr-CH"/>
        </w:rPr>
        <w:t>2.5</w:t>
      </w:r>
      <w:r>
        <w:rPr>
          <w:lang w:val="fr-CH"/>
        </w:rPr>
        <w:t xml:space="preserve"> et </w:t>
      </w:r>
      <w:r w:rsidRPr="001F5F57">
        <w:rPr>
          <w:b/>
          <w:lang w:val="fr-CH"/>
        </w:rPr>
        <w:t>2.6</w:t>
      </w:r>
      <w:r w:rsidRPr="001F5F57">
        <w:rPr>
          <w:lang w:val="fr-CH"/>
        </w:rPr>
        <w:t>, tels qu'ils ont</w:t>
      </w:r>
      <w:r>
        <w:rPr>
          <w:lang w:val="fr-CH"/>
        </w:rPr>
        <w:t xml:space="preserve"> </w:t>
      </w:r>
      <w:r w:rsidRPr="001F5F57">
        <w:rPr>
          <w:lang w:val="fr-CH"/>
        </w:rPr>
        <w:t>été rév</w:t>
      </w:r>
      <w:r w:rsidRPr="00F26F2F">
        <w:rPr>
          <w:lang w:val="fr-CH"/>
        </w:rPr>
        <w:t xml:space="preserve">isés ou établis par la </w:t>
      </w:r>
      <w:r>
        <w:rPr>
          <w:lang w:val="fr-CH"/>
        </w:rPr>
        <w:t>CMR-15</w:t>
      </w:r>
      <w:r w:rsidRPr="00F26F2F">
        <w:rPr>
          <w:lang w:val="fr-CH"/>
        </w:rPr>
        <w:t>, s</w:t>
      </w:r>
      <w:r>
        <w:rPr>
          <w:lang w:val="fr-CH"/>
        </w:rPr>
        <w:t>'</w:t>
      </w:r>
      <w:r w:rsidRPr="00F26F2F">
        <w:rPr>
          <w:lang w:val="fr-CH"/>
        </w:rPr>
        <w:t>appliqueront</w:t>
      </w:r>
      <w:r>
        <w:rPr>
          <w:lang w:val="fr-CH"/>
        </w:rPr>
        <w:t>.</w:t>
      </w:r>
    </w:p>
    <w:p w:rsidR="004F09AD" w:rsidRDefault="004B79A3">
      <w:pPr>
        <w:pStyle w:val="Reasons"/>
      </w:pPr>
      <w:r>
        <w:rPr>
          <w:b/>
        </w:rPr>
        <w:t>Motifs:</w:t>
      </w:r>
      <w:r>
        <w:tab/>
      </w:r>
      <w:r w:rsidR="00921D34" w:rsidRPr="00921D34">
        <w:rPr>
          <w:bCs/>
        </w:rPr>
        <w:t>Garantir un délai suffisant pour permettre la mise à jour du matériel et/ou des logiciels utilisés pour les systèmes existants en vue de l'élimination de la seconde intercalaire du temps UTC.</w:t>
      </w:r>
    </w:p>
    <w:p w:rsidR="004F09AD" w:rsidRDefault="004B79A3">
      <w:pPr>
        <w:pStyle w:val="Proposal"/>
      </w:pPr>
      <w:r>
        <w:t>SUP</w:t>
      </w:r>
      <w:r>
        <w:tab/>
        <w:t>ASP/32A14/8</w:t>
      </w:r>
    </w:p>
    <w:p w:rsidR="00A861F7" w:rsidRPr="00932C66" w:rsidRDefault="004B79A3" w:rsidP="00A861F7">
      <w:pPr>
        <w:pStyle w:val="ResNo"/>
      </w:pPr>
      <w:r>
        <w:t>R</w:t>
      </w:r>
      <w:r w:rsidRPr="00520C96">
        <w:t>É</w:t>
      </w:r>
      <w:r>
        <w:t xml:space="preserve">SOLUTION </w:t>
      </w:r>
      <w:r w:rsidRPr="00880E4B">
        <w:rPr>
          <w:rStyle w:val="href"/>
        </w:rPr>
        <w:t>653</w:t>
      </w:r>
      <w:r w:rsidRPr="00932C66">
        <w:t xml:space="preserve"> (CMR-12)</w:t>
      </w:r>
    </w:p>
    <w:p w:rsidR="00A861F7" w:rsidRPr="009C7CEE" w:rsidRDefault="004B79A3" w:rsidP="00A861F7">
      <w:pPr>
        <w:pStyle w:val="Restitle"/>
      </w:pPr>
      <w:r w:rsidRPr="009C7CEE">
        <w:t>Avenir de l'échelle de temps universel coordonné</w:t>
      </w:r>
    </w:p>
    <w:p w:rsidR="004F09AD" w:rsidRDefault="004B79A3">
      <w:pPr>
        <w:pStyle w:val="Reasons"/>
      </w:pPr>
      <w:r>
        <w:rPr>
          <w:b/>
        </w:rPr>
        <w:t>Motifs:</w:t>
      </w:r>
      <w:r>
        <w:tab/>
      </w:r>
      <w:r w:rsidR="00921D34">
        <w:t xml:space="preserve">La Résolution </w:t>
      </w:r>
      <w:r w:rsidR="00921D34" w:rsidRPr="00D92FD4">
        <w:t>653 (CMR-12)</w:t>
      </w:r>
      <w:r w:rsidR="00921D34">
        <w:t xml:space="preserve"> </w:t>
      </w:r>
      <w:r w:rsidR="00400FA8">
        <w:t>n'est pas nécessaire</w:t>
      </w:r>
      <w:r w:rsidR="00921D34">
        <w:t>.</w:t>
      </w:r>
    </w:p>
    <w:p w:rsidR="00921D34" w:rsidRDefault="00921D34" w:rsidP="00461A51"/>
    <w:p w:rsidR="00921D34" w:rsidRPr="00CE6A1C" w:rsidRDefault="00921D34" w:rsidP="00921D34">
      <w:pPr>
        <w:jc w:val="center"/>
      </w:pPr>
      <w:r>
        <w:t>______________</w:t>
      </w:r>
    </w:p>
    <w:p w:rsidR="00921D34" w:rsidRDefault="00921D34" w:rsidP="00461A51"/>
    <w:sectPr w:rsidR="00921D34">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A71EC1">
      <w:rPr>
        <w:noProof/>
        <w:lang w:val="en-US"/>
      </w:rPr>
      <w:t>P:\FRA\ITU-R\CONF-R\CMR15\000\032ADD14F.docx</w:t>
    </w:r>
    <w:r>
      <w:fldChar w:fldCharType="end"/>
    </w:r>
    <w:r>
      <w:rPr>
        <w:lang w:val="en-US"/>
      </w:rPr>
      <w:tab/>
    </w:r>
    <w:r>
      <w:fldChar w:fldCharType="begin"/>
    </w:r>
    <w:r>
      <w:instrText xml:space="preserve"> SAVEDATE \@ DD.MM.YY </w:instrText>
    </w:r>
    <w:r>
      <w:fldChar w:fldCharType="separate"/>
    </w:r>
    <w:r w:rsidR="00A71EC1">
      <w:rPr>
        <w:noProof/>
      </w:rPr>
      <w:t>09.10.15</w:t>
    </w:r>
    <w:r>
      <w:fldChar w:fldCharType="end"/>
    </w:r>
    <w:r>
      <w:rPr>
        <w:lang w:val="en-US"/>
      </w:rPr>
      <w:tab/>
    </w:r>
    <w:r>
      <w:fldChar w:fldCharType="begin"/>
    </w:r>
    <w:r>
      <w:instrText xml:space="preserve"> PRINTDATE \@ DD.MM.YY </w:instrText>
    </w:r>
    <w:r>
      <w:fldChar w:fldCharType="separate"/>
    </w:r>
    <w:r w:rsidR="00A71EC1">
      <w:rPr>
        <w:noProof/>
      </w:rPr>
      <w:t>09.10.15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A861F7" w:rsidRDefault="00936D25" w:rsidP="00A861F7">
    <w:pPr>
      <w:pStyle w:val="Footer"/>
    </w:pPr>
    <w:r>
      <w:fldChar w:fldCharType="begin"/>
    </w:r>
    <w:r>
      <w:rPr>
        <w:lang w:val="en-US"/>
      </w:rPr>
      <w:instrText xml:space="preserve"> FILENAME \p  \* MERGEFORMAT </w:instrText>
    </w:r>
    <w:r>
      <w:fldChar w:fldCharType="separate"/>
    </w:r>
    <w:r w:rsidR="00A71EC1">
      <w:rPr>
        <w:lang w:val="en-US"/>
      </w:rPr>
      <w:t>P:\FRA\ITU-R\CONF-R\CMR15\000\032ADD14F.docx</w:t>
    </w:r>
    <w:r>
      <w:fldChar w:fldCharType="end"/>
    </w:r>
    <w:r w:rsidR="00A861F7">
      <w:t xml:space="preserve"> (387312)</w:t>
    </w:r>
    <w:r>
      <w:rPr>
        <w:lang w:val="en-US"/>
      </w:rPr>
      <w:tab/>
    </w:r>
    <w:r>
      <w:fldChar w:fldCharType="begin"/>
    </w:r>
    <w:r>
      <w:instrText xml:space="preserve"> SAVEDATE \@ DD.MM.YY </w:instrText>
    </w:r>
    <w:r>
      <w:fldChar w:fldCharType="separate"/>
    </w:r>
    <w:r w:rsidR="00A71EC1">
      <w:t>09.10.15</w:t>
    </w:r>
    <w:r>
      <w:fldChar w:fldCharType="end"/>
    </w:r>
    <w:r>
      <w:rPr>
        <w:lang w:val="en-US"/>
      </w:rPr>
      <w:tab/>
    </w:r>
    <w:r>
      <w:fldChar w:fldCharType="begin"/>
    </w:r>
    <w:r>
      <w:instrText xml:space="preserve"> PRINTDATE \@ DD.MM.YY </w:instrText>
    </w:r>
    <w:r>
      <w:fldChar w:fldCharType="separate"/>
    </w:r>
    <w:r w:rsidR="00A71EC1">
      <w:t>09.10.15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A71EC1">
      <w:rPr>
        <w:lang w:val="en-US"/>
      </w:rPr>
      <w:t>P:\FRA\ITU-R\CONF-R\CMR15\000\032ADD14F.docx</w:t>
    </w:r>
    <w:r>
      <w:fldChar w:fldCharType="end"/>
    </w:r>
    <w:r w:rsidR="00A861F7">
      <w:t xml:space="preserve"> (387312)</w:t>
    </w:r>
    <w:r>
      <w:rPr>
        <w:lang w:val="en-US"/>
      </w:rPr>
      <w:tab/>
    </w:r>
    <w:r>
      <w:fldChar w:fldCharType="begin"/>
    </w:r>
    <w:r>
      <w:instrText xml:space="preserve"> SAVEDATE \@ DD.MM.YY </w:instrText>
    </w:r>
    <w:r>
      <w:fldChar w:fldCharType="separate"/>
    </w:r>
    <w:r w:rsidR="00A71EC1">
      <w:t>09.10.15</w:t>
    </w:r>
    <w:r>
      <w:fldChar w:fldCharType="end"/>
    </w:r>
    <w:r>
      <w:rPr>
        <w:lang w:val="en-US"/>
      </w:rPr>
      <w:tab/>
    </w:r>
    <w:r>
      <w:fldChar w:fldCharType="begin"/>
    </w:r>
    <w:r>
      <w:instrText xml:space="preserve"> PRINTDATE \@ DD.MM.YY </w:instrText>
    </w:r>
    <w:r>
      <w:fldChar w:fldCharType="separate"/>
    </w:r>
    <w:r w:rsidR="00A71EC1">
      <w:t>09.10.15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A71EC1">
      <w:rPr>
        <w:noProof/>
      </w:rPr>
      <w:t>4</w:t>
    </w:r>
    <w:r>
      <w:fldChar w:fldCharType="end"/>
    </w:r>
  </w:p>
  <w:p w:rsidR="004F1F8E" w:rsidRDefault="004F1F8E" w:rsidP="002C28A4">
    <w:pPr>
      <w:pStyle w:val="Header"/>
    </w:pPr>
    <w:r>
      <w:t>CMR1</w:t>
    </w:r>
    <w:r w:rsidR="002C28A4">
      <w:t>5</w:t>
    </w:r>
    <w:r>
      <w:t>/</w:t>
    </w:r>
    <w:r w:rsidR="006A4B45">
      <w:t>32(Add.14)-</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47471"/>
    <w:rsid w:val="00080E2C"/>
    <w:rsid w:val="000A4755"/>
    <w:rsid w:val="000B2E0C"/>
    <w:rsid w:val="000B3D0C"/>
    <w:rsid w:val="00115AA6"/>
    <w:rsid w:val="001167B9"/>
    <w:rsid w:val="001267A0"/>
    <w:rsid w:val="0015203F"/>
    <w:rsid w:val="00160C64"/>
    <w:rsid w:val="0018169B"/>
    <w:rsid w:val="0019352B"/>
    <w:rsid w:val="001960D0"/>
    <w:rsid w:val="001F17E8"/>
    <w:rsid w:val="00204306"/>
    <w:rsid w:val="00232FD2"/>
    <w:rsid w:val="002559DC"/>
    <w:rsid w:val="0026554E"/>
    <w:rsid w:val="002A4622"/>
    <w:rsid w:val="002A6F8F"/>
    <w:rsid w:val="002B17E5"/>
    <w:rsid w:val="002C0EBF"/>
    <w:rsid w:val="002C28A4"/>
    <w:rsid w:val="002F6490"/>
    <w:rsid w:val="00315AFE"/>
    <w:rsid w:val="003606A6"/>
    <w:rsid w:val="0036650C"/>
    <w:rsid w:val="00393ACD"/>
    <w:rsid w:val="003A583E"/>
    <w:rsid w:val="003E112B"/>
    <w:rsid w:val="003E1D1C"/>
    <w:rsid w:val="003E7B05"/>
    <w:rsid w:val="00400FA8"/>
    <w:rsid w:val="004471F7"/>
    <w:rsid w:val="004546A5"/>
    <w:rsid w:val="00461A51"/>
    <w:rsid w:val="00465CC2"/>
    <w:rsid w:val="00466211"/>
    <w:rsid w:val="0046659F"/>
    <w:rsid w:val="004834A9"/>
    <w:rsid w:val="004B79A3"/>
    <w:rsid w:val="004C1F13"/>
    <w:rsid w:val="004D01FC"/>
    <w:rsid w:val="004E28C3"/>
    <w:rsid w:val="004F09AD"/>
    <w:rsid w:val="004F1F8E"/>
    <w:rsid w:val="005103CA"/>
    <w:rsid w:val="00512A32"/>
    <w:rsid w:val="00525449"/>
    <w:rsid w:val="00553D7E"/>
    <w:rsid w:val="00586CF2"/>
    <w:rsid w:val="005C3768"/>
    <w:rsid w:val="005C6C3F"/>
    <w:rsid w:val="00613635"/>
    <w:rsid w:val="00616D8F"/>
    <w:rsid w:val="0062093D"/>
    <w:rsid w:val="00623CB4"/>
    <w:rsid w:val="00637ECF"/>
    <w:rsid w:val="00647B59"/>
    <w:rsid w:val="00690C7B"/>
    <w:rsid w:val="006A2962"/>
    <w:rsid w:val="006A4B45"/>
    <w:rsid w:val="006D1626"/>
    <w:rsid w:val="006D1C6D"/>
    <w:rsid w:val="006D4724"/>
    <w:rsid w:val="00701BAE"/>
    <w:rsid w:val="00721F04"/>
    <w:rsid w:val="00730488"/>
    <w:rsid w:val="00730E95"/>
    <w:rsid w:val="007426B9"/>
    <w:rsid w:val="00760AB5"/>
    <w:rsid w:val="00764342"/>
    <w:rsid w:val="00774362"/>
    <w:rsid w:val="00786598"/>
    <w:rsid w:val="007A04E8"/>
    <w:rsid w:val="007D0C94"/>
    <w:rsid w:val="00851625"/>
    <w:rsid w:val="00863C0A"/>
    <w:rsid w:val="008A3120"/>
    <w:rsid w:val="008D41BE"/>
    <w:rsid w:val="008D58D3"/>
    <w:rsid w:val="00921D34"/>
    <w:rsid w:val="00923064"/>
    <w:rsid w:val="00930FFD"/>
    <w:rsid w:val="00936D25"/>
    <w:rsid w:val="00941EA5"/>
    <w:rsid w:val="00954BF5"/>
    <w:rsid w:val="00964700"/>
    <w:rsid w:val="00966C16"/>
    <w:rsid w:val="00982E9D"/>
    <w:rsid w:val="0098732F"/>
    <w:rsid w:val="009A045F"/>
    <w:rsid w:val="009C7E7C"/>
    <w:rsid w:val="009E361F"/>
    <w:rsid w:val="00A00473"/>
    <w:rsid w:val="00A03C9B"/>
    <w:rsid w:val="00A27D16"/>
    <w:rsid w:val="00A37105"/>
    <w:rsid w:val="00A404AA"/>
    <w:rsid w:val="00A606C3"/>
    <w:rsid w:val="00A71EC1"/>
    <w:rsid w:val="00A83B09"/>
    <w:rsid w:val="00A84541"/>
    <w:rsid w:val="00A861F7"/>
    <w:rsid w:val="00A95888"/>
    <w:rsid w:val="00AE36A0"/>
    <w:rsid w:val="00B00294"/>
    <w:rsid w:val="00B64FD0"/>
    <w:rsid w:val="00BA3EC3"/>
    <w:rsid w:val="00BA4264"/>
    <w:rsid w:val="00BA5BD0"/>
    <w:rsid w:val="00BB1D82"/>
    <w:rsid w:val="00BC4748"/>
    <w:rsid w:val="00BE44D9"/>
    <w:rsid w:val="00BF26E7"/>
    <w:rsid w:val="00C33224"/>
    <w:rsid w:val="00C53FCA"/>
    <w:rsid w:val="00C76503"/>
    <w:rsid w:val="00C76BAF"/>
    <w:rsid w:val="00C814B9"/>
    <w:rsid w:val="00C93BD8"/>
    <w:rsid w:val="00CD516F"/>
    <w:rsid w:val="00CF1C1E"/>
    <w:rsid w:val="00D119A7"/>
    <w:rsid w:val="00D25FBA"/>
    <w:rsid w:val="00D32B28"/>
    <w:rsid w:val="00D42954"/>
    <w:rsid w:val="00D66EAC"/>
    <w:rsid w:val="00D730DF"/>
    <w:rsid w:val="00D772F0"/>
    <w:rsid w:val="00D77BDC"/>
    <w:rsid w:val="00D92FD4"/>
    <w:rsid w:val="00DC402B"/>
    <w:rsid w:val="00DE0932"/>
    <w:rsid w:val="00DE1D46"/>
    <w:rsid w:val="00E03A27"/>
    <w:rsid w:val="00E049F1"/>
    <w:rsid w:val="00E37A25"/>
    <w:rsid w:val="00E537FF"/>
    <w:rsid w:val="00E6539B"/>
    <w:rsid w:val="00E70A31"/>
    <w:rsid w:val="00E71055"/>
    <w:rsid w:val="00EA3F38"/>
    <w:rsid w:val="00EA5AB6"/>
    <w:rsid w:val="00EB633D"/>
    <w:rsid w:val="00EC7615"/>
    <w:rsid w:val="00ED16AA"/>
    <w:rsid w:val="00EF662E"/>
    <w:rsid w:val="00F148F1"/>
    <w:rsid w:val="00F41E3B"/>
    <w:rsid w:val="00F54F7F"/>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EC1830A1-6561-4F0F-B453-0F7BB988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link w:val="AnnextitleChar1"/>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enumlev1Char">
    <w:name w:val="enumlev1 Char"/>
    <w:basedOn w:val="DefaultParagraphFont"/>
    <w:link w:val="enumlev1"/>
    <w:rsid w:val="00921D34"/>
    <w:rPr>
      <w:rFonts w:ascii="Times New Roman" w:hAnsi="Times New Roman"/>
      <w:sz w:val="24"/>
      <w:lang w:val="fr-FR" w:eastAsia="en-US"/>
    </w:rPr>
  </w:style>
  <w:style w:type="paragraph" w:customStyle="1" w:styleId="Normalaftertitle0">
    <w:name w:val="Normal_after_title"/>
    <w:basedOn w:val="Normal"/>
    <w:next w:val="Normal"/>
    <w:link w:val="NormalaftertitleChar"/>
    <w:rsid w:val="00921D34"/>
    <w:pPr>
      <w:spacing w:before="360"/>
    </w:pPr>
  </w:style>
  <w:style w:type="character" w:customStyle="1" w:styleId="NormalaftertitleChar">
    <w:name w:val="Normal_after_title Char"/>
    <w:basedOn w:val="DefaultParagraphFont"/>
    <w:link w:val="Normalaftertitle0"/>
    <w:locked/>
    <w:rsid w:val="00921D34"/>
    <w:rPr>
      <w:rFonts w:ascii="Times New Roman" w:hAnsi="Times New Roman"/>
      <w:sz w:val="24"/>
      <w:lang w:val="fr-FR" w:eastAsia="en-US"/>
    </w:rPr>
  </w:style>
  <w:style w:type="character" w:customStyle="1" w:styleId="CallChar">
    <w:name w:val="Call Char"/>
    <w:basedOn w:val="DefaultParagraphFont"/>
    <w:link w:val="Call"/>
    <w:locked/>
    <w:rsid w:val="00921D34"/>
    <w:rPr>
      <w:rFonts w:ascii="Times New Roman" w:hAnsi="Times New Roman"/>
      <w:i/>
      <w:sz w:val="24"/>
      <w:lang w:val="fr-FR" w:eastAsia="en-US"/>
    </w:rPr>
  </w:style>
  <w:style w:type="character" w:customStyle="1" w:styleId="AnnextitleChar1">
    <w:name w:val="Annex_title Char1"/>
    <w:basedOn w:val="DefaultParagraphFont"/>
    <w:link w:val="Annextitle"/>
    <w:locked/>
    <w:rsid w:val="00921D34"/>
    <w:rPr>
      <w:rFonts w:ascii="Times New Roman Bold" w:hAnsi="Times New Roman Bold"/>
      <w:b/>
      <w:sz w:val="28"/>
      <w:lang w:val="fr-FR" w:eastAsia="en-US"/>
    </w:rPr>
  </w:style>
  <w:style w:type="paragraph" w:customStyle="1" w:styleId="ResTitle0">
    <w:name w:val="Res_Title"/>
    <w:basedOn w:val="Rectitle"/>
    <w:next w:val="Normal"/>
    <w:rsid w:val="00921D34"/>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R15-WRC15-C-0032!A14!MSW-F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D7DC8-D7FE-45FC-A424-AC347EFFCAD2}">
  <ds:schemaRefs>
    <ds:schemaRef ds:uri="http://www.w3.org/XML/1998/namespace"/>
    <ds:schemaRef ds:uri="http://purl.org/dc/dcmitype/"/>
    <ds:schemaRef ds:uri="http://schemas.microsoft.com/office/2006/metadata/properties"/>
    <ds:schemaRef ds:uri="http://purl.org/dc/elements/1.1/"/>
    <ds:schemaRef ds:uri="http://purl.org/dc/terms/"/>
    <ds:schemaRef ds:uri="32a1a8c5-2265-4ebc-b7a0-2071e2c5c9bb"/>
    <ds:schemaRef ds:uri="http://schemas.microsoft.com/office/2006/documentManagement/types"/>
    <ds:schemaRef ds:uri="http://schemas.openxmlformats.org/package/2006/metadata/core-properties"/>
    <ds:schemaRef ds:uri="http://schemas.microsoft.com/office/infopath/2007/PartnerControls"/>
    <ds:schemaRef ds:uri="996b2e75-67fd-4955-a3b0-5ab9934cb50b"/>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1019</Words>
  <Characters>5785</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R15-WRC15-C-0032!A14!MSW-F</vt:lpstr>
    </vt:vector>
  </TitlesOfParts>
  <Manager>Secrétariat général - Pool</Manager>
  <Company>Union internationale des télécommunications (UIT)</Company>
  <LinksUpToDate>false</LinksUpToDate>
  <CharactersWithSpaces>6780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R15-WRC15-C-0032!A14!MSW-F</dc:title>
  <dc:subject>Conférence mondiale des radiocommunications - 2015</dc:subject>
  <dc:creator>Documents Proposals Manager (DPM)</dc:creator>
  <cp:keywords>DPM_v5.2015.9.16_prod</cp:keywords>
  <dc:description/>
  <cp:lastModifiedBy>Germain, Catherine</cp:lastModifiedBy>
  <cp:revision>20</cp:revision>
  <cp:lastPrinted>2015-10-09T08:16:00Z</cp:lastPrinted>
  <dcterms:created xsi:type="dcterms:W3CDTF">2015-10-06T07:02:00Z</dcterms:created>
  <dcterms:modified xsi:type="dcterms:W3CDTF">2015-10-09T08:17:00Z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