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  <w:bookmarkStart w:id="0" w:name="_GoBack"/>
            <w:bookmarkEnd w:id="0"/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2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10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2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B937A9" w:rsidRDefault="00690C7B" w:rsidP="00690C7B">
            <w:pPr>
              <w:pStyle w:val="Source"/>
              <w:rPr>
                <w:lang w:val="fr-CH"/>
              </w:rPr>
            </w:pPr>
            <w:bookmarkStart w:id="3" w:name="dsource" w:colFirst="0" w:colLast="0"/>
            <w:r w:rsidRPr="00B937A9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FA71AA" w:rsidTr="0050008E">
        <w:trPr>
          <w:cantSplit/>
        </w:trPr>
        <w:tc>
          <w:tcPr>
            <w:tcW w:w="10031" w:type="dxa"/>
            <w:gridSpan w:val="2"/>
          </w:tcPr>
          <w:p w:rsidR="00690C7B" w:rsidRPr="00FA71AA" w:rsidRDefault="00FA71AA" w:rsidP="00690C7B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3"/>
            <w:r w:rsidRPr="00FA71AA">
              <w:rPr>
                <w:lang w:val="fr-CH"/>
              </w:rPr>
              <w:t>propositions pour les travaux de la conférence</w:t>
            </w:r>
          </w:p>
        </w:tc>
      </w:tr>
      <w:tr w:rsidR="00690C7B" w:rsidRPr="00FA71AA" w:rsidTr="0050008E">
        <w:trPr>
          <w:cantSplit/>
        </w:trPr>
        <w:tc>
          <w:tcPr>
            <w:tcW w:w="10031" w:type="dxa"/>
            <w:gridSpan w:val="2"/>
          </w:tcPr>
          <w:p w:rsidR="00690C7B" w:rsidRPr="00FA71AA" w:rsidRDefault="00690C7B" w:rsidP="00690C7B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6D4724">
              <w:t>Point 1.10 de l'ordre du jour</w:t>
            </w:r>
          </w:p>
        </w:tc>
      </w:tr>
    </w:tbl>
    <w:bookmarkEnd w:id="6"/>
    <w:p w:rsidR="00CD4552" w:rsidRPr="00194927" w:rsidRDefault="00457D5F" w:rsidP="00CD4552">
      <w:r w:rsidRPr="00194927">
        <w:t>1.10</w:t>
      </w:r>
      <w:r w:rsidRPr="00194927">
        <w:tab/>
        <w:t>examiner les besoins de spectre et les attributions additionnelles possibles pour le service mobile par satellite dans les sens Terre vers espace et espace vers Terre, y compris la composante satellite des applications large bande et les Télécommunications mobiles internationales (IMT), dans la gamme de fréquences comprise entre 22 et 26 GHz, conformément à la Résolution </w:t>
      </w:r>
      <w:r w:rsidRPr="00A14946">
        <w:rPr>
          <w:b/>
          <w:bCs/>
        </w:rPr>
        <w:t>234 (CMR</w:t>
      </w:r>
      <w:r w:rsidRPr="00A14946">
        <w:rPr>
          <w:b/>
          <w:bCs/>
        </w:rPr>
        <w:noBreakHyphen/>
        <w:t>12)</w:t>
      </w:r>
      <w:r w:rsidRPr="00194927">
        <w:t>;</w:t>
      </w:r>
    </w:p>
    <w:p w:rsidR="003A583E" w:rsidRDefault="003A583E" w:rsidP="00786598"/>
    <w:p w:rsidR="00CD4552" w:rsidRPr="00CD4552" w:rsidRDefault="007540A1" w:rsidP="00217482">
      <w:pPr>
        <w:pStyle w:val="Headingb"/>
      </w:pPr>
      <w:r w:rsidRPr="00217482">
        <w:t>Introduction</w:t>
      </w:r>
    </w:p>
    <w:p w:rsidR="00CD4552" w:rsidRDefault="00CD4552" w:rsidP="00217482">
      <w:r>
        <w:t xml:space="preserve">Les </w:t>
      </w:r>
      <w:r w:rsidR="00217482">
        <w:t>M</w:t>
      </w:r>
      <w:r>
        <w:t xml:space="preserve">embres de l’APT </w:t>
      </w:r>
      <w:r w:rsidR="00A42FA7">
        <w:t>appuient</w:t>
      </w:r>
      <w:r>
        <w:t xml:space="preserve"> la Méthode A du Rapport de la RPC, qui consiste à ne rien modifier, ce qui entraîne également la suppression de la Résolution 234 (CMR-12).</w:t>
      </w:r>
    </w:p>
    <w:p w:rsidR="0015203F" w:rsidRPr="00CD4552" w:rsidRDefault="007540A1" w:rsidP="007540A1">
      <w:pPr>
        <w:pStyle w:val="Headingb"/>
      </w:pPr>
      <w:r>
        <w:t>Propositions</w:t>
      </w:r>
      <w:r w:rsidR="0015203F" w:rsidRPr="00CD4552">
        <w:br w:type="page"/>
      </w:r>
    </w:p>
    <w:p w:rsidR="004A6A8C" w:rsidRDefault="00457D5F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457D5F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E452DD" w:rsidRDefault="00457D5F">
      <w:pPr>
        <w:pStyle w:val="Proposal"/>
      </w:pPr>
      <w:r>
        <w:rPr>
          <w:u w:val="single"/>
        </w:rPr>
        <w:t>NOC</w:t>
      </w:r>
      <w:r>
        <w:tab/>
        <w:t>ASP/32A10/1</w:t>
      </w:r>
    </w:p>
    <w:p w:rsidR="004A6A8C" w:rsidRPr="00375EEA" w:rsidRDefault="00457D5F" w:rsidP="00D94B99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8C5579">
        <w:rPr>
          <w:b w:val="0"/>
          <w:bCs/>
        </w:rPr>
        <w:t>(Voir le numéro</w:t>
      </w:r>
      <w:r w:rsidRPr="00260AE5">
        <w:t xml:space="preserve"> 2.1</w:t>
      </w:r>
      <w:r w:rsidRPr="008C5579">
        <w:rPr>
          <w:b w:val="0"/>
          <w:bCs/>
        </w:rPr>
        <w:t>)</w:t>
      </w:r>
      <w:r w:rsidRPr="008C5579">
        <w:rPr>
          <w:b w:val="0"/>
          <w:bCs/>
          <w:color w:val="000000"/>
        </w:rPr>
        <w:br/>
      </w:r>
      <w:r>
        <w:rPr>
          <w:b w:val="0"/>
          <w:color w:val="000000"/>
        </w:rPr>
        <w:br/>
      </w:r>
    </w:p>
    <w:p w:rsidR="00E452DD" w:rsidRDefault="00457D5F" w:rsidP="00987362">
      <w:pPr>
        <w:pStyle w:val="Reasons"/>
      </w:pPr>
      <w:r w:rsidRPr="007540A1">
        <w:rPr>
          <w:b/>
        </w:rPr>
        <w:t>Motifs</w:t>
      </w:r>
      <w:r>
        <w:rPr>
          <w:b/>
        </w:rPr>
        <w:t>:</w:t>
      </w:r>
      <w:r>
        <w:tab/>
      </w:r>
      <w:r w:rsidR="008C5579">
        <w:t xml:space="preserve">Il serait très difficile </w:t>
      </w:r>
      <w:r w:rsidR="00987362">
        <w:t>d’assurer</w:t>
      </w:r>
      <w:r w:rsidR="008C5579">
        <w:t xml:space="preserve"> la protection des divers services existants</w:t>
      </w:r>
      <w:r w:rsidR="005D5FD0">
        <w:t xml:space="preserve"> dans la </w:t>
      </w:r>
      <w:r w:rsidR="00D021D5">
        <w:t>gamme</w:t>
      </w:r>
      <w:r w:rsidR="005D5FD0">
        <w:t xml:space="preserve"> de fréquences 22-26 GHz dans le cadre de ce point de l’ordre du jour, et l’étude de partage réalisée par l’UIT-R </w:t>
      </w:r>
      <w:r w:rsidR="00D021D5">
        <w:t>n’est</w:t>
      </w:r>
      <w:r w:rsidR="005D5FD0">
        <w:t xml:space="preserve"> pas suffisamment a</w:t>
      </w:r>
      <w:r w:rsidR="00D021D5">
        <w:t>boutie</w:t>
      </w:r>
      <w:r w:rsidR="005D5FD0">
        <w:t>.</w:t>
      </w:r>
    </w:p>
    <w:p w:rsidR="00E452DD" w:rsidRDefault="00457D5F">
      <w:pPr>
        <w:pStyle w:val="Proposal"/>
      </w:pPr>
      <w:r>
        <w:t>SUP</w:t>
      </w:r>
      <w:r>
        <w:tab/>
        <w:t>ASP/32A10/2</w:t>
      </w:r>
    </w:p>
    <w:p w:rsidR="00DD4258" w:rsidRPr="00EB04F4" w:rsidRDefault="00457D5F" w:rsidP="00DD4258">
      <w:pPr>
        <w:pStyle w:val="ResNo"/>
      </w:pPr>
      <w:r>
        <w:t xml:space="preserve">RÉSOLUTION </w:t>
      </w:r>
      <w:r w:rsidRPr="00B1433C">
        <w:rPr>
          <w:rStyle w:val="href"/>
        </w:rPr>
        <w:t>234</w:t>
      </w:r>
      <w:r w:rsidRPr="00EB04F4">
        <w:t xml:space="preserve"> (CMR-12)</w:t>
      </w:r>
    </w:p>
    <w:p w:rsidR="00DD4258" w:rsidRPr="009C7CEE" w:rsidRDefault="00457D5F" w:rsidP="00AC1F0E">
      <w:pPr>
        <w:pStyle w:val="Restitle"/>
      </w:pPr>
      <w:r w:rsidRPr="009C7CEE">
        <w:t>Attributions additionnelles à titre primaire au service mobile par satellite,</w:t>
      </w:r>
      <w:r w:rsidRPr="009C7CEE">
        <w:br/>
        <w:t>dans les bandes comprises entre 22 GHz et 26 GHz</w:t>
      </w:r>
    </w:p>
    <w:p w:rsidR="00E452DD" w:rsidRDefault="00457D5F" w:rsidP="007540A1">
      <w:pPr>
        <w:pStyle w:val="Reasons"/>
      </w:pPr>
      <w:r>
        <w:rPr>
          <w:b/>
        </w:rPr>
        <w:t>Motifs:</w:t>
      </w:r>
      <w:r>
        <w:tab/>
      </w:r>
      <w:r w:rsidR="005D5FD0">
        <w:t xml:space="preserve">Il ne serait pas nécessaire de procéder à </w:t>
      </w:r>
      <w:r w:rsidR="00DA65B8">
        <w:t xml:space="preserve">d'autres </w:t>
      </w:r>
      <w:r w:rsidR="005D5FD0">
        <w:t xml:space="preserve">études de partage </w:t>
      </w:r>
      <w:r w:rsidR="009D1893">
        <w:t>et</w:t>
      </w:r>
      <w:r w:rsidR="005D5FD0">
        <w:t xml:space="preserve"> de compatibilité en vue </w:t>
      </w:r>
      <w:r w:rsidR="005A075B">
        <w:t>de faire</w:t>
      </w:r>
      <w:r w:rsidR="005D5FD0">
        <w:t xml:space="preserve"> des attributions additionnelles au SMS dans cette bande.</w:t>
      </w:r>
    </w:p>
    <w:p w:rsidR="007540A1" w:rsidRDefault="007540A1" w:rsidP="0032202E">
      <w:pPr>
        <w:pStyle w:val="Reasons"/>
      </w:pPr>
    </w:p>
    <w:p w:rsidR="007540A1" w:rsidRDefault="007540A1" w:rsidP="0032202E">
      <w:pPr>
        <w:pStyle w:val="Reasons"/>
      </w:pPr>
    </w:p>
    <w:p w:rsidR="007540A1" w:rsidRDefault="007540A1">
      <w:pPr>
        <w:jc w:val="center"/>
      </w:pPr>
      <w:r>
        <w:t>______________</w:t>
      </w:r>
    </w:p>
    <w:p w:rsidR="007540A1" w:rsidRDefault="007540A1" w:rsidP="007540A1">
      <w:pPr>
        <w:pStyle w:val="Reasons"/>
      </w:pPr>
    </w:p>
    <w:sectPr w:rsidR="007540A1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5F" w:rsidRDefault="00457D5F">
      <w:r>
        <w:separator/>
      </w:r>
    </w:p>
  </w:endnote>
  <w:endnote w:type="continuationSeparator" w:id="0">
    <w:p w:rsidR="00457D5F" w:rsidRDefault="0045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E6AAB">
      <w:rPr>
        <w:noProof/>
        <w:lang w:val="en-US"/>
      </w:rPr>
      <w:t>P:\FRA\ITU-R\CONF-R\CMR15\000\032ADD10F.docx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E6AAB">
      <w:rPr>
        <w:noProof/>
      </w:rPr>
      <w:t>05.10.15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E6AAB">
      <w:rPr>
        <w:noProof/>
      </w:rPr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B97E9F" w:rsidRDefault="00B97E9F" w:rsidP="00B97E9F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E6AAB">
      <w:rPr>
        <w:lang w:val="en-US"/>
      </w:rPr>
      <w:t>P:\FRA\ITU-R\CONF-R\CMR15\000\032ADD10F.docx</w:t>
    </w:r>
    <w:r>
      <w:fldChar w:fldCharType="end"/>
    </w:r>
    <w:r>
      <w:t xml:space="preserve"> (387308)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E6AAB">
      <w:t>05.10.15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E6AAB">
      <w:t>05.10.15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E6AAB">
      <w:rPr>
        <w:lang w:val="en-US"/>
      </w:rPr>
      <w:t>P:\FRA\ITU-R\CONF-R\CMR15\000\032ADD10F.docx</w:t>
    </w:r>
    <w:r>
      <w:fldChar w:fldCharType="end"/>
    </w:r>
    <w:r w:rsidR="00BE7419">
      <w:t xml:space="preserve"> (387308)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E6AAB">
      <w:t>05.10.15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E6AAB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5F" w:rsidRDefault="00457D5F">
      <w:r>
        <w:rPr>
          <w:b/>
        </w:rPr>
        <w:t>_______________</w:t>
      </w:r>
    </w:p>
  </w:footnote>
  <w:footnote w:type="continuationSeparator" w:id="0">
    <w:p w:rsidR="00457D5F" w:rsidRDefault="0045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E6AAB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32(Add.10)-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17482"/>
    <w:rsid w:val="00232FD2"/>
    <w:rsid w:val="00254E81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57D5F"/>
    <w:rsid w:val="00466211"/>
    <w:rsid w:val="004834A9"/>
    <w:rsid w:val="00491287"/>
    <w:rsid w:val="004D01FC"/>
    <w:rsid w:val="004E28C3"/>
    <w:rsid w:val="004F1F8E"/>
    <w:rsid w:val="004F35C9"/>
    <w:rsid w:val="00512A32"/>
    <w:rsid w:val="00586CF2"/>
    <w:rsid w:val="005A075B"/>
    <w:rsid w:val="005C3768"/>
    <w:rsid w:val="005C6C3F"/>
    <w:rsid w:val="005D5FD0"/>
    <w:rsid w:val="005E6AAB"/>
    <w:rsid w:val="00613635"/>
    <w:rsid w:val="0062093D"/>
    <w:rsid w:val="00637ECF"/>
    <w:rsid w:val="00647B59"/>
    <w:rsid w:val="006510D6"/>
    <w:rsid w:val="00690C7B"/>
    <w:rsid w:val="006A4B45"/>
    <w:rsid w:val="006D4724"/>
    <w:rsid w:val="00701BAE"/>
    <w:rsid w:val="00721F04"/>
    <w:rsid w:val="00730E95"/>
    <w:rsid w:val="007426B9"/>
    <w:rsid w:val="007540A1"/>
    <w:rsid w:val="00764342"/>
    <w:rsid w:val="00774362"/>
    <w:rsid w:val="00786598"/>
    <w:rsid w:val="007A04E8"/>
    <w:rsid w:val="00851625"/>
    <w:rsid w:val="00863C0A"/>
    <w:rsid w:val="008A3120"/>
    <w:rsid w:val="008C5579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87362"/>
    <w:rsid w:val="009A045F"/>
    <w:rsid w:val="009C7E7C"/>
    <w:rsid w:val="009D1893"/>
    <w:rsid w:val="00A00473"/>
    <w:rsid w:val="00A03C9B"/>
    <w:rsid w:val="00A37105"/>
    <w:rsid w:val="00A42FA7"/>
    <w:rsid w:val="00A606C3"/>
    <w:rsid w:val="00A83B09"/>
    <w:rsid w:val="00A84541"/>
    <w:rsid w:val="00AE36A0"/>
    <w:rsid w:val="00B00294"/>
    <w:rsid w:val="00B64FD0"/>
    <w:rsid w:val="00B937A9"/>
    <w:rsid w:val="00B97E9F"/>
    <w:rsid w:val="00BA5BD0"/>
    <w:rsid w:val="00BB1D82"/>
    <w:rsid w:val="00BE7419"/>
    <w:rsid w:val="00BF26E7"/>
    <w:rsid w:val="00C53FCA"/>
    <w:rsid w:val="00C76BAF"/>
    <w:rsid w:val="00C814B9"/>
    <w:rsid w:val="00CD4552"/>
    <w:rsid w:val="00CD516F"/>
    <w:rsid w:val="00D021D5"/>
    <w:rsid w:val="00D119A7"/>
    <w:rsid w:val="00D25FBA"/>
    <w:rsid w:val="00D32B28"/>
    <w:rsid w:val="00D42954"/>
    <w:rsid w:val="00D66EAC"/>
    <w:rsid w:val="00D730DF"/>
    <w:rsid w:val="00D772F0"/>
    <w:rsid w:val="00D77BDC"/>
    <w:rsid w:val="00DA65B8"/>
    <w:rsid w:val="00DC402B"/>
    <w:rsid w:val="00DE0932"/>
    <w:rsid w:val="00E03A27"/>
    <w:rsid w:val="00E049F1"/>
    <w:rsid w:val="00E37A25"/>
    <w:rsid w:val="00E452DD"/>
    <w:rsid w:val="00E537FF"/>
    <w:rsid w:val="00E6539B"/>
    <w:rsid w:val="00E70A31"/>
    <w:rsid w:val="00E86FE3"/>
    <w:rsid w:val="00EA3F38"/>
    <w:rsid w:val="00EA5AB6"/>
    <w:rsid w:val="00EC7615"/>
    <w:rsid w:val="00ED16AA"/>
    <w:rsid w:val="00EF662E"/>
    <w:rsid w:val="00F148F1"/>
    <w:rsid w:val="00FA3BBF"/>
    <w:rsid w:val="00FA71AA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CFC0664-D97D-4845-9FB6-53675614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R15-WRC15-C-0032!A10!MSW-F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40898-5BFC-43CB-A70B-647EDDA1AB1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250</Words>
  <Characters>1420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R15-WRC15-C-0032!A10!MSW-F</vt:lpstr>
    </vt:vector>
  </TitlesOfParts>
  <Manager>Secrétariat général - Pool</Manager>
  <Company>Union internationale des télécommunications (UIT)</Company>
  <LinksUpToDate>false</LinksUpToDate>
  <CharactersWithSpaces>1650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R15-WRC15-C-0032!A10!MSW-F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11</cp:revision>
  <cp:lastPrinted>2015-10-05T15:51:00Z</cp:lastPrinted>
  <dcterms:created xsi:type="dcterms:W3CDTF">2015-10-05T14:33:00Z</dcterms:created>
  <dcterms:modified xsi:type="dcterms:W3CDTF">2015-10-05T15:51:00Z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