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C14C85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32(Add.10)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3762F9" w:rsidP="008221A4">
            <w:pPr>
              <w:pStyle w:val="Title1"/>
            </w:pPr>
            <w:bookmarkStart w:id="5" w:name="dtitle1" w:colFirst="0" w:colLast="0"/>
            <w:bookmarkEnd w:id="4"/>
            <w:r w:rsidRPr="003762F9">
              <w:rPr>
                <w:rFonts w:hint="eastAsia"/>
              </w:rPr>
              <w:t>有关大会工作的提案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6" w:name="dtitle2" w:colFirst="0" w:colLast="0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7" w:name="dtitle3" w:colFirst="0" w:colLast="0"/>
            <w:bookmarkEnd w:id="6"/>
            <w:r w:rsidRPr="000273B7">
              <w:t>议项</w:t>
            </w:r>
            <w:r w:rsidRPr="000273B7">
              <w:t>1.10</w:t>
            </w:r>
          </w:p>
        </w:tc>
      </w:tr>
    </w:tbl>
    <w:bookmarkEnd w:id="7"/>
    <w:p w:rsidR="008B60D0" w:rsidRPr="00D42E4F" w:rsidRDefault="003529C2" w:rsidP="003762F9">
      <w:pPr>
        <w:pStyle w:val="Normalaftertitle0"/>
        <w:rPr>
          <w:lang w:eastAsia="zh-CN"/>
        </w:rPr>
      </w:pPr>
      <w:r w:rsidRPr="009C33AA">
        <w:rPr>
          <w:lang w:eastAsia="zh-CN"/>
        </w:rPr>
        <w:t>1.10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234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，考虑在</w:t>
      </w:r>
      <w:r w:rsidRPr="009C33AA">
        <w:rPr>
          <w:lang w:eastAsia="zh-CN"/>
        </w:rPr>
        <w:t>22 GHz</w:t>
      </w:r>
      <w:r w:rsidRPr="009C33AA">
        <w:rPr>
          <w:rFonts w:hint="eastAsia"/>
          <w:lang w:eastAsia="zh-CN"/>
        </w:rPr>
        <w:t>至</w:t>
      </w:r>
      <w:r w:rsidRPr="009C33AA">
        <w:rPr>
          <w:lang w:eastAsia="zh-CN"/>
        </w:rPr>
        <w:t>26 GHz</w:t>
      </w:r>
      <w:r w:rsidRPr="009C33AA">
        <w:rPr>
          <w:rFonts w:hint="eastAsia"/>
          <w:lang w:eastAsia="zh-CN"/>
        </w:rPr>
        <w:t>的频率范围内卫星移动业务地对空和空对地方向（包括涵盖国际移动通信（</w:t>
      </w:r>
      <w:r w:rsidRPr="009C33AA">
        <w:rPr>
          <w:lang w:eastAsia="zh-CN"/>
        </w:rPr>
        <w:t>IMT</w:t>
      </w:r>
      <w:r w:rsidRPr="009C33AA">
        <w:rPr>
          <w:rFonts w:hint="eastAsia"/>
          <w:lang w:eastAsia="zh-CN"/>
        </w:rPr>
        <w:t>）的宽带应用的卫星部分）的频谱需求并考虑做出可能的附加频谱划分；</w:t>
      </w:r>
    </w:p>
    <w:p w:rsidR="00622560" w:rsidRDefault="00622560" w:rsidP="0083672D">
      <w:pPr>
        <w:rPr>
          <w:lang w:eastAsia="zh-CN"/>
        </w:rPr>
      </w:pPr>
    </w:p>
    <w:p w:rsidR="003529C2" w:rsidRPr="006B3BC5" w:rsidRDefault="003529C2" w:rsidP="00C14C85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3529C2" w:rsidRPr="002D0382" w:rsidRDefault="003529C2" w:rsidP="00115316">
      <w:pPr>
        <w:ind w:firstLineChars="200" w:firstLine="480"/>
        <w:rPr>
          <w:lang w:eastAsia="zh-CN"/>
        </w:rPr>
      </w:pPr>
      <w:r w:rsidRPr="002D0382">
        <w:rPr>
          <w:rFonts w:hint="eastAsia"/>
          <w:lang w:eastAsia="zh-CN"/>
        </w:rPr>
        <w:t>APT</w:t>
      </w:r>
      <w:r w:rsidR="00115316">
        <w:rPr>
          <w:rFonts w:hint="eastAsia"/>
          <w:lang w:eastAsia="zh-CN"/>
        </w:rPr>
        <w:t>成员支持</w:t>
      </w:r>
      <w:r w:rsidR="00115316">
        <w:rPr>
          <w:rFonts w:hint="eastAsia"/>
          <w:lang w:eastAsia="zh-CN"/>
        </w:rPr>
        <w:t>CPM</w:t>
      </w:r>
      <w:r w:rsidR="00115316">
        <w:rPr>
          <w:rFonts w:hint="eastAsia"/>
          <w:lang w:eastAsia="zh-CN"/>
        </w:rPr>
        <w:t>报告中的方法</w:t>
      </w:r>
      <w:r w:rsidR="00115316">
        <w:rPr>
          <w:rFonts w:hint="eastAsia"/>
          <w:lang w:eastAsia="zh-CN"/>
        </w:rPr>
        <w:t>A</w:t>
      </w:r>
      <w:r w:rsidR="00115316">
        <w:rPr>
          <w:rFonts w:hint="eastAsia"/>
          <w:lang w:eastAsia="zh-CN"/>
        </w:rPr>
        <w:t>（即“不做修改”），该方法也包括相应地删除第</w:t>
      </w:r>
      <w:r w:rsidR="00115316">
        <w:rPr>
          <w:rFonts w:hint="eastAsia"/>
          <w:lang w:eastAsia="zh-CN"/>
        </w:rPr>
        <w:t>234</w:t>
      </w:r>
      <w:r w:rsidR="00115316">
        <w:rPr>
          <w:rFonts w:hint="eastAsia"/>
          <w:lang w:eastAsia="zh-CN"/>
        </w:rPr>
        <w:t>号决议（</w:t>
      </w:r>
      <w:r w:rsidRPr="002D0382">
        <w:rPr>
          <w:rFonts w:hint="eastAsia"/>
          <w:lang w:eastAsia="zh-CN"/>
        </w:rPr>
        <w:t>WRC-12</w:t>
      </w:r>
      <w:r w:rsidR="00115316">
        <w:rPr>
          <w:rFonts w:hint="eastAsia"/>
          <w:lang w:eastAsia="zh-CN"/>
        </w:rPr>
        <w:t>）。</w:t>
      </w:r>
    </w:p>
    <w:p w:rsidR="003529C2" w:rsidRDefault="003529C2" w:rsidP="000D067A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3529C2" w:rsidP="004709FF">
      <w:pPr>
        <w:pStyle w:val="ArtNo"/>
        <w:rPr>
          <w:lang w:eastAsia="zh-CN"/>
        </w:rPr>
      </w:pPr>
      <w:bookmarkStart w:id="8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8"/>
    </w:p>
    <w:p w:rsidR="00DB1CAC" w:rsidRDefault="003529C2" w:rsidP="00DB1CAC">
      <w:pPr>
        <w:pStyle w:val="Arttitle"/>
        <w:rPr>
          <w:lang w:eastAsia="zh-CN"/>
        </w:rPr>
      </w:pPr>
      <w:bookmarkStart w:id="9" w:name="_Toc329768663"/>
      <w:r>
        <w:rPr>
          <w:rFonts w:hint="eastAsia"/>
          <w:lang w:eastAsia="zh-CN"/>
        </w:rPr>
        <w:t>频率划分</w:t>
      </w:r>
      <w:bookmarkEnd w:id="9"/>
    </w:p>
    <w:p w:rsidR="000255AA" w:rsidRDefault="003529C2">
      <w:pPr>
        <w:pStyle w:val="Proposal"/>
      </w:pPr>
      <w:r>
        <w:rPr>
          <w:u w:val="single"/>
        </w:rPr>
        <w:t>NOC</w:t>
      </w:r>
      <w:r>
        <w:tab/>
        <w:t>ASP/32A10/1</w:t>
      </w:r>
    </w:p>
    <w:p w:rsidR="00DB1CAC" w:rsidRDefault="003529C2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0255AA" w:rsidRDefault="003529C2" w:rsidP="00C14C8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15316">
        <w:rPr>
          <w:rFonts w:hint="eastAsia"/>
          <w:lang w:eastAsia="zh-CN"/>
        </w:rPr>
        <w:t>很</w:t>
      </w:r>
      <w:bookmarkStart w:id="10" w:name="_GoBack"/>
      <w:bookmarkEnd w:id="10"/>
      <w:r w:rsidR="00115316">
        <w:rPr>
          <w:rFonts w:hint="eastAsia"/>
          <w:lang w:eastAsia="zh-CN"/>
        </w:rPr>
        <w:t>难确保对该议项下</w:t>
      </w:r>
      <w:r w:rsidR="00115316" w:rsidRPr="009C33AA">
        <w:rPr>
          <w:lang w:eastAsia="zh-CN"/>
        </w:rPr>
        <w:t>22</w:t>
      </w:r>
      <w:r w:rsidR="00115316">
        <w:rPr>
          <w:rFonts w:hint="eastAsia"/>
          <w:lang w:eastAsia="zh-CN"/>
        </w:rPr>
        <w:t>-26</w:t>
      </w:r>
      <w:r w:rsidR="00115316" w:rsidRPr="009C33AA">
        <w:rPr>
          <w:lang w:eastAsia="zh-CN"/>
        </w:rPr>
        <w:t> GHz</w:t>
      </w:r>
      <w:r w:rsidR="00115316" w:rsidRPr="009C33AA">
        <w:rPr>
          <w:rFonts w:hint="eastAsia"/>
          <w:lang w:eastAsia="zh-CN"/>
        </w:rPr>
        <w:t>频率范围内</w:t>
      </w:r>
      <w:r w:rsidR="00115316">
        <w:rPr>
          <w:rFonts w:hint="eastAsia"/>
          <w:lang w:eastAsia="zh-CN"/>
        </w:rPr>
        <w:t>各种现有业务的保护，且</w:t>
      </w:r>
      <w:r w:rsidR="00115316">
        <w:rPr>
          <w:rFonts w:hint="eastAsia"/>
          <w:lang w:eastAsia="zh-CN"/>
        </w:rPr>
        <w:t>ITU-R</w:t>
      </w:r>
      <w:r w:rsidR="00115316">
        <w:rPr>
          <w:rFonts w:hint="eastAsia"/>
          <w:lang w:eastAsia="zh-CN"/>
        </w:rPr>
        <w:t>开展的</w:t>
      </w:r>
      <w:r w:rsidR="00C14C85">
        <w:rPr>
          <w:rFonts w:hint="eastAsia"/>
          <w:lang w:eastAsia="zh-CN"/>
        </w:rPr>
        <w:t>共用</w:t>
      </w:r>
      <w:r w:rsidR="00115316">
        <w:rPr>
          <w:rFonts w:hint="eastAsia"/>
          <w:lang w:eastAsia="zh-CN"/>
        </w:rPr>
        <w:t>研究并不成熟。</w:t>
      </w:r>
    </w:p>
    <w:p w:rsidR="000255AA" w:rsidRDefault="003529C2">
      <w:pPr>
        <w:pStyle w:val="Proposal"/>
        <w:rPr>
          <w:lang w:eastAsia="zh-CN"/>
        </w:rPr>
      </w:pPr>
      <w:r>
        <w:rPr>
          <w:lang w:eastAsia="zh-CN"/>
        </w:rPr>
        <w:t>SUP</w:t>
      </w:r>
      <w:r>
        <w:rPr>
          <w:lang w:eastAsia="zh-CN"/>
        </w:rPr>
        <w:tab/>
        <w:t>ASP/32A10/2</w:t>
      </w:r>
    </w:p>
    <w:p w:rsidR="00F24DDE" w:rsidRPr="00C14C85" w:rsidRDefault="003529C2" w:rsidP="00C14C85">
      <w:pPr>
        <w:pStyle w:val="ResNo"/>
      </w:pPr>
      <w:bookmarkStart w:id="11" w:name="_Toc328053082"/>
      <w:r w:rsidRPr="00C14C85">
        <w:rPr>
          <w:rFonts w:hint="eastAsia"/>
        </w:rPr>
        <w:t>第</w:t>
      </w:r>
      <w:r w:rsidRPr="00C14C85">
        <w:rPr>
          <w:rStyle w:val="href"/>
          <w:rFonts w:hint="eastAsia"/>
        </w:rPr>
        <w:t>234</w:t>
      </w:r>
      <w:r w:rsidRPr="00C14C85">
        <w:rPr>
          <w:rFonts w:hint="eastAsia"/>
        </w:rPr>
        <w:t>号决议（</w:t>
      </w:r>
      <w:r w:rsidRPr="00C14C85">
        <w:t>WRC-12</w:t>
      </w:r>
      <w:r w:rsidRPr="00C14C85">
        <w:rPr>
          <w:rFonts w:hint="eastAsia"/>
        </w:rPr>
        <w:t>）</w:t>
      </w:r>
      <w:bookmarkEnd w:id="11"/>
    </w:p>
    <w:p w:rsidR="00F24DDE" w:rsidRPr="00593CC2" w:rsidRDefault="003529C2" w:rsidP="00F24DDE">
      <w:pPr>
        <w:pStyle w:val="Restitle"/>
        <w:rPr>
          <w:rFonts w:ascii="Times New Roman" w:hAnsi="Times New Roman"/>
          <w:lang w:eastAsia="zh-CN"/>
        </w:rPr>
      </w:pPr>
      <w:bookmarkStart w:id="12" w:name="_Toc328053083"/>
      <w:r w:rsidRPr="00593CC2">
        <w:rPr>
          <w:rFonts w:ascii="Times New Roman" w:hint="eastAsia"/>
          <w:lang w:eastAsia="zh-CN"/>
        </w:rPr>
        <w:t>在</w:t>
      </w:r>
      <w:r>
        <w:rPr>
          <w:rFonts w:hint="eastAsia"/>
          <w:lang w:eastAsia="zh-CN"/>
        </w:rPr>
        <w:t>22</w:t>
      </w:r>
      <w:r w:rsidRPr="00274E84">
        <w:rPr>
          <w:lang w:eastAsia="zh-CN"/>
        </w:rPr>
        <w:t xml:space="preserve"> GHz</w:t>
      </w:r>
      <w:r>
        <w:rPr>
          <w:rFonts w:hint="eastAsia"/>
          <w:lang w:eastAsia="zh-CN"/>
        </w:rPr>
        <w:t>至</w:t>
      </w:r>
      <w:r>
        <w:rPr>
          <w:rFonts w:hint="eastAsia"/>
          <w:lang w:eastAsia="zh-CN"/>
        </w:rPr>
        <w:t>26 GHz</w:t>
      </w:r>
      <w:r>
        <w:rPr>
          <w:rFonts w:ascii="Times New Roman" w:hAnsi="Times New Roman" w:hint="eastAsia"/>
          <w:lang w:eastAsia="zh-CN"/>
        </w:rPr>
        <w:t>频段内增加</w:t>
      </w:r>
      <w:r w:rsidRPr="00593CC2">
        <w:rPr>
          <w:rFonts w:ascii="Times New Roman" w:hint="eastAsia"/>
          <w:lang w:eastAsia="zh-CN"/>
        </w:rPr>
        <w:t>卫星移动业务</w:t>
      </w:r>
      <w:r>
        <w:rPr>
          <w:rFonts w:ascii="Times New Roman"/>
          <w:lang w:eastAsia="zh-CN"/>
        </w:rPr>
        <w:br/>
      </w:r>
      <w:r>
        <w:rPr>
          <w:rFonts w:ascii="Times New Roman" w:hAnsi="Times New Roman" w:hint="eastAsia"/>
          <w:lang w:eastAsia="zh-CN"/>
        </w:rPr>
        <w:t>主要业务</w:t>
      </w:r>
      <w:r w:rsidRPr="00593CC2">
        <w:rPr>
          <w:rFonts w:ascii="Times New Roman" w:hint="eastAsia"/>
          <w:lang w:eastAsia="zh-CN"/>
        </w:rPr>
        <w:t>的划分</w:t>
      </w:r>
      <w:bookmarkEnd w:id="12"/>
    </w:p>
    <w:p w:rsidR="000255AA" w:rsidRDefault="003529C2" w:rsidP="00115316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115316">
        <w:rPr>
          <w:rFonts w:hint="eastAsia"/>
          <w:lang w:eastAsia="zh-CN"/>
        </w:rPr>
        <w:t>在该频段内，无需为增加</w:t>
      </w:r>
      <w:r w:rsidR="00115316">
        <w:rPr>
          <w:rFonts w:hint="eastAsia"/>
          <w:lang w:eastAsia="zh-CN"/>
        </w:rPr>
        <w:t>MSS</w:t>
      </w:r>
      <w:r w:rsidR="00115316">
        <w:rPr>
          <w:rFonts w:hint="eastAsia"/>
          <w:lang w:eastAsia="zh-CN"/>
        </w:rPr>
        <w:t>划分而进一步开展共用和兼容性研究。</w:t>
      </w:r>
    </w:p>
    <w:p w:rsidR="00C14C85" w:rsidRDefault="00C14C85" w:rsidP="0032202E">
      <w:pPr>
        <w:pStyle w:val="Reasons"/>
      </w:pPr>
    </w:p>
    <w:p w:rsidR="00C14C85" w:rsidRDefault="00C14C85">
      <w:pPr>
        <w:jc w:val="center"/>
      </w:pPr>
      <w:r>
        <w:t>______________</w:t>
      </w:r>
    </w:p>
    <w:p w:rsidR="00C14C85" w:rsidRDefault="00C14C85" w:rsidP="00115316">
      <w:pPr>
        <w:pStyle w:val="Reasons"/>
        <w:rPr>
          <w:rFonts w:hint="eastAsia"/>
          <w:lang w:eastAsia="zh-CN"/>
        </w:rPr>
      </w:pPr>
    </w:p>
    <w:sectPr w:rsidR="00C14C85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0D067A" w:rsidRDefault="000D067A" w:rsidP="000D067A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C7132">
      <w:rPr>
        <w:lang w:val="en-US"/>
      </w:rPr>
      <w:t>P:\CHI\ITU-R\CONF-R\CMR15\000\032ADD10C.docx</w:t>
    </w:r>
    <w:r>
      <w:fldChar w:fldCharType="end"/>
    </w:r>
    <w:r>
      <w:rPr>
        <w:lang w:val="en-US"/>
      </w:rPr>
      <w:t xml:space="preserve"> (387308)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C7132">
      <w:t>06.10.15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C7132"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7C7132">
      <w:rPr>
        <w:lang w:val="en-US"/>
      </w:rPr>
      <w:t>P:\CHI\ITU-R\CONF-R\CMR15\000\032ADD10C.docx</w:t>
    </w:r>
    <w:r>
      <w:fldChar w:fldCharType="end"/>
    </w:r>
    <w:r w:rsidR="000D067A">
      <w:rPr>
        <w:lang w:val="en-US"/>
      </w:rPr>
      <w:t xml:space="preserve"> (387308)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C7132">
      <w:t>06.10.15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C7132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C7132">
      <w:rPr>
        <w:rStyle w:val="PageNumber"/>
        <w:noProof/>
      </w:rPr>
      <w:t>2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32(Add.10)-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55AA"/>
    <w:rsid w:val="000264C2"/>
    <w:rsid w:val="000273B7"/>
    <w:rsid w:val="00037C90"/>
    <w:rsid w:val="000C09BA"/>
    <w:rsid w:val="000C1F1E"/>
    <w:rsid w:val="000C6AA7"/>
    <w:rsid w:val="000D067A"/>
    <w:rsid w:val="000E26F6"/>
    <w:rsid w:val="00115316"/>
    <w:rsid w:val="00123C07"/>
    <w:rsid w:val="00166859"/>
    <w:rsid w:val="001765EC"/>
    <w:rsid w:val="001853E8"/>
    <w:rsid w:val="001B6360"/>
    <w:rsid w:val="001F4EA6"/>
    <w:rsid w:val="00214959"/>
    <w:rsid w:val="002260A6"/>
    <w:rsid w:val="002742B3"/>
    <w:rsid w:val="002A4C9C"/>
    <w:rsid w:val="002B509B"/>
    <w:rsid w:val="002E2A59"/>
    <w:rsid w:val="002E4507"/>
    <w:rsid w:val="00305254"/>
    <w:rsid w:val="003169D2"/>
    <w:rsid w:val="003529C2"/>
    <w:rsid w:val="003762F9"/>
    <w:rsid w:val="003B4BEF"/>
    <w:rsid w:val="003C6B45"/>
    <w:rsid w:val="0041282E"/>
    <w:rsid w:val="00437869"/>
    <w:rsid w:val="00465A34"/>
    <w:rsid w:val="004C4554"/>
    <w:rsid w:val="004D2DEC"/>
    <w:rsid w:val="004F2BE6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C7132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26CD"/>
    <w:rsid w:val="00C07239"/>
    <w:rsid w:val="00C14C85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560F1"/>
    <w:rsid w:val="00E92319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77682F-D96D-4586-A8FA-48ADD84E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link w:val="TabletextChar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TabletextChar">
    <w:name w:val="Table_text Char"/>
    <w:link w:val="Tabletext"/>
    <w:locked/>
    <w:rsid w:val="003529C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true"/>
    <DPM_x0020_Author xmlns="32a1a8c5-2265-4ebc-b7a0-2071e2c5c9bb" xsi:nil="true"/>
    <DPM_x0020_Version xmlns="32a1a8c5-2265-4ebc-b7a0-2071e2c5c9bb" xsi:nil="true"/>
  </documentManagement>
</p:properti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87801B-677B-4FB9-9883-05C16D4847A9}">
  <ds:schemaRefs>
    <ds:schemaRef ds:uri="http://schemas.openxmlformats.org/package/2006/metadata/core-properties"/>
    <ds:schemaRef ds:uri="http://purl.org/dc/elements/1.1/"/>
    <ds:schemaRef ds:uri="996b2e75-67fd-4955-a3b0-5ab9934cb50b"/>
    <ds:schemaRef ds:uri="http://www.w3.org/XML/1998/namespace"/>
    <ds:schemaRef ds:uri="http://purl.org/dc/dcmitype/"/>
    <ds:schemaRef ds:uri="32a1a8c5-2265-4ebc-b7a0-2071e2c5c9bb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459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R15-WRC15-C-0032!A10!MSW-C</vt:lpstr>
    </vt:vector>
  </TitlesOfParts>
  <Manager>General Secretariat - Pool</Manager>
  <Company>International Telecommunication Union (ITU)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R15-WRC15-C-0032!A10!MSW-C</dc:title>
  <dc:subject>World Radiocommunication Conference - 2015</dc:subject>
  <dc:creator>Documents Proposals Manager (DPM)</dc:creator>
  <cp:keywords>DPM_v5.2015.9.16_prod</cp:keywords>
  <dc:description/>
  <cp:lastModifiedBy>Zheng, Bingyue</cp:lastModifiedBy>
  <cp:revision>4</cp:revision>
  <cp:lastPrinted>2015-10-06T08:42:00Z</cp:lastPrinted>
  <dcterms:created xsi:type="dcterms:W3CDTF">2015-10-06T08:40:00Z</dcterms:created>
  <dcterms:modified xsi:type="dcterms:W3CDTF">2015-10-06T08:43:00Z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