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285EBB" w:rsidTr="00D13C6E">
        <w:trPr>
          <w:cantSplit/>
        </w:trPr>
        <w:tc>
          <w:tcPr>
            <w:tcW w:w="6629" w:type="dxa"/>
          </w:tcPr>
          <w:p w:rsidR="005651C9" w:rsidRPr="00285EB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85EB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285EBB">
              <w:rPr>
                <w:rFonts w:ascii="Verdana" w:hAnsi="Verdana"/>
                <w:b/>
                <w:bCs/>
                <w:szCs w:val="22"/>
              </w:rPr>
              <w:t>15)</w:t>
            </w:r>
            <w:r w:rsidRPr="00285EB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285EBB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285EBB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85EBB">
              <w:rPr>
                <w:noProof/>
                <w:lang w:val="en-US" w:eastAsia="zh-CN"/>
              </w:rPr>
              <w:drawing>
                <wp:inline distT="0" distB="0" distL="0" distR="0" wp14:anchorId="12B947FA" wp14:editId="690AFFC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85EBB" w:rsidTr="00D13C6E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285EB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85EB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285EB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85EBB" w:rsidTr="00D13C6E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285EB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285EB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85EBB" w:rsidTr="00D13C6E">
        <w:trPr>
          <w:cantSplit/>
        </w:trPr>
        <w:tc>
          <w:tcPr>
            <w:tcW w:w="6629" w:type="dxa"/>
          </w:tcPr>
          <w:p w:rsidR="005651C9" w:rsidRPr="00285EB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85EBB">
              <w:rPr>
                <w:rFonts w:ascii="Verdana" w:hAnsi="Verdana"/>
                <w:b/>
                <w:smallCaps/>
                <w:sz w:val="18"/>
                <w:szCs w:val="22"/>
              </w:rPr>
              <w:t>КОМИТЕТ 6</w:t>
            </w:r>
          </w:p>
        </w:tc>
        <w:tc>
          <w:tcPr>
            <w:tcW w:w="3402" w:type="dxa"/>
          </w:tcPr>
          <w:p w:rsidR="005651C9" w:rsidRPr="00285EB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85EB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25</w:t>
            </w:r>
            <w:r w:rsidRPr="00285EB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285EB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85EB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85EBB" w:rsidTr="00D13C6E">
        <w:trPr>
          <w:cantSplit/>
        </w:trPr>
        <w:tc>
          <w:tcPr>
            <w:tcW w:w="6629" w:type="dxa"/>
          </w:tcPr>
          <w:p w:rsidR="000F33D8" w:rsidRPr="00285EB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285EB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85EBB">
              <w:rPr>
                <w:rFonts w:ascii="Verdana" w:hAnsi="Verdana"/>
                <w:b/>
                <w:bCs/>
                <w:sz w:val="18"/>
                <w:szCs w:val="18"/>
              </w:rPr>
              <w:t>13 ноября 2015 года</w:t>
            </w:r>
          </w:p>
        </w:tc>
      </w:tr>
      <w:tr w:rsidR="000F33D8" w:rsidRPr="00285EBB" w:rsidTr="00D13C6E">
        <w:trPr>
          <w:cantSplit/>
        </w:trPr>
        <w:tc>
          <w:tcPr>
            <w:tcW w:w="6629" w:type="dxa"/>
          </w:tcPr>
          <w:p w:rsidR="000F33D8" w:rsidRPr="00285EB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285EB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85EB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85EBB" w:rsidTr="009546EA">
        <w:trPr>
          <w:cantSplit/>
        </w:trPr>
        <w:tc>
          <w:tcPr>
            <w:tcW w:w="10031" w:type="dxa"/>
            <w:gridSpan w:val="2"/>
          </w:tcPr>
          <w:p w:rsidR="000F33D8" w:rsidRPr="00285EB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85EBB">
        <w:trPr>
          <w:cantSplit/>
        </w:trPr>
        <w:tc>
          <w:tcPr>
            <w:tcW w:w="10031" w:type="dxa"/>
            <w:gridSpan w:val="2"/>
          </w:tcPr>
          <w:p w:rsidR="000F33D8" w:rsidRPr="00285EBB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285EBB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285EBB">
        <w:trPr>
          <w:cantSplit/>
        </w:trPr>
        <w:tc>
          <w:tcPr>
            <w:tcW w:w="10031" w:type="dxa"/>
            <w:gridSpan w:val="2"/>
          </w:tcPr>
          <w:p w:rsidR="000F33D8" w:rsidRPr="00285EBB" w:rsidRDefault="004C123D" w:rsidP="004C123D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285EBB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85EBB">
        <w:trPr>
          <w:cantSplit/>
        </w:trPr>
        <w:tc>
          <w:tcPr>
            <w:tcW w:w="10031" w:type="dxa"/>
            <w:gridSpan w:val="2"/>
          </w:tcPr>
          <w:p w:rsidR="000F33D8" w:rsidRPr="00285EB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85EBB">
        <w:trPr>
          <w:cantSplit/>
        </w:trPr>
        <w:tc>
          <w:tcPr>
            <w:tcW w:w="10031" w:type="dxa"/>
            <w:gridSpan w:val="2"/>
          </w:tcPr>
          <w:p w:rsidR="000F33D8" w:rsidRPr="00285EB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85EBB">
              <w:rPr>
                <w:lang w:val="ru-RU"/>
              </w:rPr>
              <w:t>Пункт 10 повестки дня</w:t>
            </w:r>
          </w:p>
        </w:tc>
      </w:tr>
    </w:tbl>
    <w:bookmarkEnd w:id="7"/>
    <w:p w:rsidR="000D0C2B" w:rsidRPr="00285EBB" w:rsidRDefault="00E31D23" w:rsidP="00665A6D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285EBB">
        <w:t>10</w:t>
      </w:r>
      <w:r w:rsidRPr="00285EBB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285EBB">
        <w:t>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 в отношении возможных пунктов повесток дня будущих конференций, в соответствии со Статьей 7 Конвенции,</w:t>
      </w:r>
    </w:p>
    <w:p w:rsidR="00665A6D" w:rsidRPr="00285EBB" w:rsidRDefault="00665A6D" w:rsidP="00665A6D">
      <w:pPr>
        <w:pStyle w:val="Headingb"/>
        <w:rPr>
          <w:lang w:val="ru-RU"/>
        </w:rPr>
      </w:pPr>
      <w:r w:rsidRPr="00285EBB">
        <w:rPr>
          <w:lang w:val="ru-RU"/>
        </w:rPr>
        <w:t>Введение</w:t>
      </w:r>
    </w:p>
    <w:p w:rsidR="00665A6D" w:rsidRPr="00285EBB" w:rsidRDefault="00665A6D" w:rsidP="00665A6D">
      <w:r w:rsidRPr="00285EBB">
        <w:t>В пункте 10 повестки дня ВКР-15 поручается 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 в отношении возможных пунктов повестки дня будущих конференций с учетом Резол</w:t>
      </w:r>
      <w:bookmarkStart w:id="8" w:name="_GoBack"/>
      <w:bookmarkEnd w:id="8"/>
      <w:r w:rsidRPr="00285EBB">
        <w:t xml:space="preserve">юции 808 (ВКР-12). </w:t>
      </w:r>
    </w:p>
    <w:p w:rsidR="00665A6D" w:rsidRPr="00285EBB" w:rsidRDefault="00665A6D" w:rsidP="00665A6D">
      <w:pPr>
        <w:pStyle w:val="Headingb"/>
        <w:rPr>
          <w:lang w:val="ru-RU"/>
        </w:rPr>
      </w:pPr>
      <w:r w:rsidRPr="00285EBB">
        <w:rPr>
          <w:lang w:val="ru-RU"/>
        </w:rPr>
        <w:t>Предложение</w:t>
      </w:r>
    </w:p>
    <w:p w:rsidR="00665A6D" w:rsidRPr="00285EBB" w:rsidRDefault="00665A6D" w:rsidP="00665A6D">
      <w:r w:rsidRPr="00285EBB">
        <w:t>Государства – члены АСЭ поддерживают включение в повестку дня ВКР-19 пункта о спектре для IMT после 2020 года:</w:t>
      </w:r>
    </w:p>
    <w:p w:rsidR="00665A6D" w:rsidRPr="00285EBB" w:rsidRDefault="00665A6D" w:rsidP="00665A6D">
      <w:pPr>
        <w:pStyle w:val="enumlev1"/>
        <w:rPr>
          <w:rStyle w:val="BRNormal"/>
          <w:rFonts w:eastAsiaTheme="minorEastAsia"/>
        </w:rPr>
      </w:pPr>
      <w:r w:rsidRPr="00285EBB">
        <w:rPr>
          <w:rStyle w:val="BRNormal"/>
        </w:rPr>
        <w:t>–</w:t>
      </w:r>
      <w:r w:rsidRPr="00285EBB">
        <w:rPr>
          <w:rStyle w:val="BRNormal"/>
        </w:rPr>
        <w:tab/>
      </w:r>
      <w:r w:rsidRPr="00285EBB">
        <w:t>Оказание поддержки МСЭ-R в проведении необходимых исследований</w:t>
      </w:r>
      <w:r w:rsidRPr="00285EBB">
        <w:rPr>
          <w:rStyle w:val="BRNormal"/>
        </w:rPr>
        <w:t xml:space="preserve"> </w:t>
      </w:r>
      <w:r w:rsidRPr="00285EBB">
        <w:t>совместного использования частот подвижной и другими службами и их совместимости в одной и той же или соседних полосах с учетом действующих положений Регламента радиосвязи, а также использования этих полос другими службами.</w:t>
      </w:r>
    </w:p>
    <w:p w:rsidR="00665A6D" w:rsidRPr="00285EBB" w:rsidRDefault="00665A6D" w:rsidP="00F549DB">
      <w:pPr>
        <w:pStyle w:val="enumlev1"/>
      </w:pPr>
      <w:r w:rsidRPr="00285EBB">
        <w:rPr>
          <w:rStyle w:val="BRNormal"/>
          <w:rFonts w:eastAsiaTheme="minorEastAsia"/>
        </w:rPr>
        <w:t>–</w:t>
      </w:r>
      <w:r w:rsidRPr="00285EBB">
        <w:rPr>
          <w:rStyle w:val="BRNormal"/>
          <w:rFonts w:eastAsiaTheme="minorEastAsia"/>
        </w:rPr>
        <w:tab/>
      </w:r>
      <w:r w:rsidRPr="00285EBB">
        <w:t xml:space="preserve">Поддержка исследований по вопросам, касающимся частот, в связи с определением IMT, включая возможные дополнительные распределения подвижным службам на первичной основе </w:t>
      </w:r>
      <w:r w:rsidR="00F549DB">
        <w:t xml:space="preserve">во всех или </w:t>
      </w:r>
      <w:r w:rsidRPr="00285EBB">
        <w:t xml:space="preserve">на участке(ах) следующих полос частот для дальнейшего развития IMT </w:t>
      </w:r>
      <w:r w:rsidR="00F549DB">
        <w:t xml:space="preserve">на </w:t>
      </w:r>
      <w:r w:rsidRPr="00285EBB">
        <w:t>2020 год</w:t>
      </w:r>
      <w:r w:rsidR="00F549DB">
        <w:t xml:space="preserve"> и далее</w:t>
      </w:r>
      <w:r w:rsidRPr="00285EBB">
        <w:t>:</w:t>
      </w:r>
    </w:p>
    <w:p w:rsidR="00665A6D" w:rsidRPr="00285EBB" w:rsidRDefault="00E31D23" w:rsidP="00E31D23">
      <w:pPr>
        <w:pStyle w:val="enumlev2"/>
      </w:pPr>
      <w:r w:rsidRPr="00285EBB">
        <w:t>i)</w:t>
      </w:r>
      <w:r w:rsidRPr="00285EBB">
        <w:tab/>
      </w:r>
      <w:r w:rsidR="00665A6D" w:rsidRPr="00285EBB">
        <w:t>7,075–8,5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ii</w:t>
      </w:r>
      <w:proofErr w:type="spellEnd"/>
      <w:r w:rsidRPr="00285EBB">
        <w:t>)</w:t>
      </w:r>
      <w:r w:rsidRPr="00285EBB">
        <w:tab/>
      </w:r>
      <w:r w:rsidR="00665A6D" w:rsidRPr="00285EBB">
        <w:t>8,5−10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iii</w:t>
      </w:r>
      <w:proofErr w:type="spellEnd"/>
      <w:r w:rsidRPr="00285EBB">
        <w:t>)</w:t>
      </w:r>
      <w:r w:rsidRPr="00285EBB">
        <w:tab/>
      </w:r>
      <w:r w:rsidR="00665A6D" w:rsidRPr="00285EBB">
        <w:t>10−10,5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iv</w:t>
      </w:r>
      <w:proofErr w:type="spellEnd"/>
      <w:r w:rsidRPr="00285EBB">
        <w:t>)</w:t>
      </w:r>
      <w:r w:rsidRPr="00285EBB">
        <w:tab/>
      </w:r>
      <w:r w:rsidR="00665A6D" w:rsidRPr="00285EBB">
        <w:t>14,8−15,35 ГГц</w:t>
      </w:r>
      <w:r w:rsidRPr="00285EBB">
        <w:t>;</w:t>
      </w:r>
    </w:p>
    <w:p w:rsidR="00665A6D" w:rsidRPr="00285EBB" w:rsidRDefault="00E31D23" w:rsidP="00E31D23">
      <w:pPr>
        <w:pStyle w:val="enumlev2"/>
      </w:pPr>
      <w:r w:rsidRPr="00285EBB">
        <w:t>v)</w:t>
      </w:r>
      <w:r w:rsidRPr="00285EBB">
        <w:tab/>
      </w:r>
      <w:r w:rsidR="00665A6D" w:rsidRPr="00285EBB">
        <w:t>15,35−15,630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vi</w:t>
      </w:r>
      <w:proofErr w:type="spellEnd"/>
      <w:r w:rsidRPr="00285EBB">
        <w:t>)</w:t>
      </w:r>
      <w:r w:rsidRPr="00285EBB">
        <w:tab/>
      </w:r>
      <w:r w:rsidR="00665A6D" w:rsidRPr="00285EBB">
        <w:t>15,630−17,3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vii</w:t>
      </w:r>
      <w:proofErr w:type="spellEnd"/>
      <w:r w:rsidRPr="00285EBB">
        <w:t>)</w:t>
      </w:r>
      <w:r w:rsidRPr="00285EBB">
        <w:tab/>
      </w:r>
      <w:r w:rsidR="00665A6D" w:rsidRPr="00285EBB">
        <w:t>23,6−24,25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lastRenderedPageBreak/>
        <w:t>viii</w:t>
      </w:r>
      <w:proofErr w:type="spellEnd"/>
      <w:r w:rsidRPr="00285EBB">
        <w:t>)</w:t>
      </w:r>
      <w:r w:rsidRPr="00285EBB">
        <w:tab/>
      </w:r>
      <w:r w:rsidR="00665A6D" w:rsidRPr="00285EBB">
        <w:t>26,5−27,5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ix</w:t>
      </w:r>
      <w:proofErr w:type="spellEnd"/>
      <w:r w:rsidRPr="00285EBB">
        <w:t>)</w:t>
      </w:r>
      <w:r w:rsidRPr="00285EBB">
        <w:tab/>
      </w:r>
      <w:r w:rsidR="00665A6D" w:rsidRPr="00285EBB">
        <w:t>31,8−33,4 ГГц</w:t>
      </w:r>
      <w:r w:rsidRPr="00285EBB">
        <w:t>;</w:t>
      </w:r>
    </w:p>
    <w:p w:rsidR="00665A6D" w:rsidRPr="00285EBB" w:rsidRDefault="00E31D23" w:rsidP="00E31D23">
      <w:pPr>
        <w:pStyle w:val="enumlev2"/>
      </w:pPr>
      <w:r w:rsidRPr="00285EBB">
        <w:t>x)</w:t>
      </w:r>
      <w:r w:rsidRPr="00285EBB">
        <w:tab/>
      </w:r>
      <w:r w:rsidR="00665A6D" w:rsidRPr="00285EBB">
        <w:t>37−43,5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xi</w:t>
      </w:r>
      <w:proofErr w:type="spellEnd"/>
      <w:r w:rsidRPr="00285EBB">
        <w:t>)</w:t>
      </w:r>
      <w:r w:rsidRPr="00285EBB">
        <w:tab/>
      </w:r>
      <w:r w:rsidR="00665A6D" w:rsidRPr="00285EBB">
        <w:t>45,5−50,2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xii</w:t>
      </w:r>
      <w:proofErr w:type="spellEnd"/>
      <w:r w:rsidRPr="00285EBB">
        <w:t>)</w:t>
      </w:r>
      <w:r w:rsidRPr="00285EBB">
        <w:tab/>
      </w:r>
      <w:r w:rsidR="00665A6D" w:rsidRPr="00285EBB">
        <w:t>50,4−52,6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xiii</w:t>
      </w:r>
      <w:proofErr w:type="spellEnd"/>
      <w:r w:rsidRPr="00285EBB">
        <w:t>)</w:t>
      </w:r>
      <w:r w:rsidRPr="00285EBB">
        <w:tab/>
      </w:r>
      <w:r w:rsidR="00665A6D" w:rsidRPr="00285EBB">
        <w:t>55−76 ГГц</w:t>
      </w:r>
      <w:r w:rsidRPr="00285EBB">
        <w:t>;</w:t>
      </w:r>
    </w:p>
    <w:p w:rsidR="00665A6D" w:rsidRPr="00285EBB" w:rsidRDefault="00E31D23" w:rsidP="00E31D23">
      <w:pPr>
        <w:pStyle w:val="enumlev2"/>
      </w:pPr>
      <w:proofErr w:type="spellStart"/>
      <w:r w:rsidRPr="00285EBB">
        <w:t>xiv</w:t>
      </w:r>
      <w:proofErr w:type="spellEnd"/>
      <w:r w:rsidRPr="00285EBB">
        <w:t>)</w:t>
      </w:r>
      <w:r w:rsidRPr="00285EBB">
        <w:tab/>
      </w:r>
      <w:r w:rsidR="00665A6D" w:rsidRPr="00285EBB">
        <w:t>81−86 ГГц.</w:t>
      </w:r>
    </w:p>
    <w:p w:rsidR="009B5CC2" w:rsidRPr="00285EBB" w:rsidRDefault="00665A6D" w:rsidP="00665A6D">
      <w:pPr>
        <w:spacing w:before="480"/>
        <w:jc w:val="center"/>
      </w:pPr>
      <w:r w:rsidRPr="00285EBB">
        <w:t>______________</w:t>
      </w:r>
    </w:p>
    <w:sectPr w:rsidR="009B5CC2" w:rsidRPr="00285EB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E31D23" w:rsidRDefault="00567276">
    <w:pPr>
      <w:ind w:right="360"/>
      <w:rPr>
        <w:lang w:val="en-GB"/>
      </w:rPr>
    </w:pPr>
    <w:r>
      <w:fldChar w:fldCharType="begin"/>
    </w:r>
    <w:r w:rsidRPr="00E31D23">
      <w:rPr>
        <w:lang w:val="en-GB"/>
      </w:rPr>
      <w:instrText xml:space="preserve"> FILENAME \p  \* MERGEFORMAT </w:instrText>
    </w:r>
    <w:r>
      <w:fldChar w:fldCharType="separate"/>
    </w:r>
    <w:r w:rsidR="009C257F">
      <w:rPr>
        <w:noProof/>
        <w:lang w:val="en-GB"/>
      </w:rPr>
      <w:t>P:\RUS\ITU-R\CONF-R\CMR15\000\028ADD25R.docx</w:t>
    </w:r>
    <w:r>
      <w:fldChar w:fldCharType="end"/>
    </w:r>
    <w:r w:rsidRPr="00E31D2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C257F">
      <w:rPr>
        <w:noProof/>
      </w:rPr>
      <w:t>13.11.15</w:t>
    </w:r>
    <w:r>
      <w:fldChar w:fldCharType="end"/>
    </w:r>
    <w:r w:rsidRPr="00E31D2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C257F">
      <w:rPr>
        <w:noProof/>
      </w:rPr>
      <w:t>13.11.15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65A6D" w:rsidRDefault="00665A6D" w:rsidP="00665A6D">
    <w:pPr>
      <w:pStyle w:val="Footer"/>
    </w:pPr>
    <w:r>
      <w:fldChar w:fldCharType="begin"/>
    </w:r>
    <w:r w:rsidRPr="00665A6D">
      <w:instrText xml:space="preserve"> FILENAME \p  \* MERGEFORMAT </w:instrText>
    </w:r>
    <w:r>
      <w:fldChar w:fldCharType="separate"/>
    </w:r>
    <w:r w:rsidR="009C257F">
      <w:t>P:\RUS\ITU-R\CONF-R\CMR15\000\028ADD25R.docx</w:t>
    </w:r>
    <w:r>
      <w:fldChar w:fldCharType="end"/>
    </w:r>
    <w:r w:rsidRPr="00665A6D">
      <w:t xml:space="preserve"> (390201)</w:t>
    </w:r>
    <w:r w:rsidRPr="00665A6D">
      <w:tab/>
    </w:r>
    <w:r>
      <w:fldChar w:fldCharType="begin"/>
    </w:r>
    <w:r>
      <w:instrText xml:space="preserve"> SAVEDATE \@ DD.MM.YY </w:instrText>
    </w:r>
    <w:r>
      <w:fldChar w:fldCharType="separate"/>
    </w:r>
    <w:r w:rsidR="009C257F">
      <w:t>13.11.15</w:t>
    </w:r>
    <w:r>
      <w:fldChar w:fldCharType="end"/>
    </w:r>
    <w:r w:rsidRPr="00665A6D">
      <w:tab/>
    </w:r>
    <w:r>
      <w:fldChar w:fldCharType="begin"/>
    </w:r>
    <w:r>
      <w:instrText xml:space="preserve"> PRINTDATE \@ DD.MM.YY </w:instrText>
    </w:r>
    <w:r>
      <w:fldChar w:fldCharType="separate"/>
    </w:r>
    <w:r w:rsidR="009C257F">
      <w:t>13.11.15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65A6D" w:rsidRDefault="00567276" w:rsidP="00DE2EBA">
    <w:pPr>
      <w:pStyle w:val="Footer"/>
    </w:pPr>
    <w:r>
      <w:fldChar w:fldCharType="begin"/>
    </w:r>
    <w:r w:rsidRPr="00665A6D">
      <w:instrText xml:space="preserve"> FILENAME \p  \* MERGEFORMAT </w:instrText>
    </w:r>
    <w:r>
      <w:fldChar w:fldCharType="separate"/>
    </w:r>
    <w:r w:rsidR="009C257F">
      <w:t>P:\RUS\ITU-R\CONF-R\CMR15\000\028ADD25R.docx</w:t>
    </w:r>
    <w:r>
      <w:fldChar w:fldCharType="end"/>
    </w:r>
    <w:r w:rsidR="00665A6D" w:rsidRPr="00665A6D">
      <w:t xml:space="preserve"> (390201)</w:t>
    </w:r>
    <w:r w:rsidRPr="00665A6D">
      <w:tab/>
    </w:r>
    <w:r>
      <w:fldChar w:fldCharType="begin"/>
    </w:r>
    <w:r>
      <w:instrText xml:space="preserve"> SAVEDATE \@ DD.MM.YY </w:instrText>
    </w:r>
    <w:r>
      <w:fldChar w:fldCharType="separate"/>
    </w:r>
    <w:r w:rsidR="009C257F">
      <w:t>13.11.15</w:t>
    </w:r>
    <w:r>
      <w:fldChar w:fldCharType="end"/>
    </w:r>
    <w:r w:rsidRPr="00665A6D">
      <w:tab/>
    </w:r>
    <w:r>
      <w:fldChar w:fldCharType="begin"/>
    </w:r>
    <w:r>
      <w:instrText xml:space="preserve"> PRINTDATE \@ DD.MM.YY </w:instrText>
    </w:r>
    <w:r>
      <w:fldChar w:fldCharType="separate"/>
    </w:r>
    <w:r w:rsidR="009C257F">
      <w:t>13.11.15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C257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Add.25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149B3FE9"/>
    <w:multiLevelType w:val="hybridMultilevel"/>
    <w:tmpl w:val="37B44124"/>
    <w:lvl w:ilvl="0" w:tplc="AA003434">
      <w:start w:val="1"/>
      <w:numFmt w:val="lowerRoman"/>
      <w:lvlText w:val="%1)"/>
      <w:lvlJc w:val="left"/>
      <w:pPr>
        <w:ind w:left="1854" w:hanging="72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5EBB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123D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65A6D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C257F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13C6E"/>
    <w:rsid w:val="00D53715"/>
    <w:rsid w:val="00DE2EBA"/>
    <w:rsid w:val="00E2253F"/>
    <w:rsid w:val="00E31D23"/>
    <w:rsid w:val="00E43E99"/>
    <w:rsid w:val="00E5155F"/>
    <w:rsid w:val="00E65919"/>
    <w:rsid w:val="00E976C1"/>
    <w:rsid w:val="00F21A03"/>
    <w:rsid w:val="00F549DB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2FB252-F2F6-4A58-A715-9AC20F4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BRNormal">
    <w:name w:val="BR_Normal"/>
    <w:basedOn w:val="DefaultParagraphFont"/>
    <w:uiPriority w:val="1"/>
    <w:qFormat/>
    <w:rsid w:val="0066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R15-WRC15-C-0028!A25!MSW-R</DPM_x0020_File_x0020_name>
    <DPM_x0020_Author xmlns="32a1a8c5-2265-4ebc-b7a0-2071e2c5c9bb" xsi:nil="false">Documents Proposals Manager (DPM)</DPM_x0020_Author>
    <DPM_x0020_Version xmlns="32a1a8c5-2265-4ebc-b7a0-2071e2c5c9bb" xsi:nil="false">DPM_v5.2015.11.120_prod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F876D-B066-41CB-9C44-1ED32E843BEA}">
  <ds:schemaRefs>
    <ds:schemaRef ds:uri="32a1a8c5-2265-4ebc-b7a0-2071e2c5c9bb"/>
    <ds:schemaRef ds:uri="http://purl.org/dc/terms/"/>
    <ds:schemaRef ds:uri="http://purl.org/dc/elements/1.1/"/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1587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R15-WRC15-C-0028!A25!MSW-R</vt:lpstr>
    </vt:vector>
  </TitlesOfParts>
  <Manager>General Secretariat - Pool</Manager>
  <Company>International Telecommunication Union (ITU)</Company>
  <LinksUpToDate>false</LinksUpToDate>
  <CharactersWithSpaces>1814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R15-WRC15-C-0028!A25!MSW-R</dc:title>
  <dc:subject>World Radiocommunication Conference - 2015</dc:subject>
  <dc:creator>Documents Proposals Manager (DPM)</dc:creator>
  <cp:keywords>DPM_v5.2015.11.120_prod</cp:keywords>
  <dc:description/>
  <cp:lastModifiedBy>Komissarova, Olga</cp:lastModifiedBy>
  <cp:revision>8</cp:revision>
  <cp:lastPrinted>2015-11-13T21:39:00Z</cp:lastPrinted>
  <dcterms:created xsi:type="dcterms:W3CDTF">2015-11-13T19:49:00Z</dcterms:created>
  <dcterms:modified xsi:type="dcterms:W3CDTF">2015-11-13T21:40:00Z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