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COMMISSION 6</w:t>
            </w:r>
          </w:p>
        </w:tc>
        <w:tc>
          <w:tcPr>
            <w:tcW w:w="3120" w:type="dxa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25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13 novembre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B44749" w:rsidTr="0050008E">
        <w:trPr>
          <w:cantSplit/>
        </w:trPr>
        <w:tc>
          <w:tcPr>
            <w:tcW w:w="10031" w:type="dxa"/>
            <w:gridSpan w:val="2"/>
          </w:tcPr>
          <w:p w:rsidR="00690C7B" w:rsidRPr="00B44749" w:rsidRDefault="00B44749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44749">
              <w:rPr>
                <w:lang w:val="fr-CH"/>
              </w:rPr>
              <w:t>PROPOSITIONS POUR LES TRAVAUX DE LA CONFéRENCE</w:t>
            </w:r>
          </w:p>
        </w:tc>
      </w:tr>
      <w:tr w:rsidR="00690C7B" w:rsidRPr="00B44749" w:rsidTr="0050008E">
        <w:trPr>
          <w:cantSplit/>
        </w:trPr>
        <w:tc>
          <w:tcPr>
            <w:tcW w:w="10031" w:type="dxa"/>
            <w:gridSpan w:val="2"/>
          </w:tcPr>
          <w:p w:rsidR="00690C7B" w:rsidRPr="00B44749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10 de l'ordre du jour</w:t>
            </w:r>
          </w:p>
        </w:tc>
      </w:tr>
    </w:tbl>
    <w:bookmarkEnd w:id="5"/>
    <w:p w:rsidR="001C0E40" w:rsidRDefault="000B0371" w:rsidP="00B27401">
      <w:pPr>
        <w:rPr>
          <w:lang w:val="fr-CA"/>
        </w:rPr>
      </w:pPr>
      <w:r w:rsidRPr="000F2DBF">
        <w:rPr>
          <w:lang w:val="fr-CA"/>
        </w:rPr>
        <w:t>10</w:t>
      </w:r>
      <w:r w:rsidRPr="000F2DBF">
        <w:rPr>
          <w:lang w:val="fr-CA"/>
        </w:rPr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</w:t>
      </w:r>
      <w:r w:rsidR="00B44749">
        <w:rPr>
          <w:lang w:val="fr-CA"/>
        </w:rPr>
        <w:t xml:space="preserve"> à l'article 7 de la Convention,</w:t>
      </w:r>
    </w:p>
    <w:p w:rsidR="005535B4" w:rsidRPr="000F2DBF" w:rsidRDefault="005535B4" w:rsidP="00B27401">
      <w:pPr>
        <w:rPr>
          <w:lang w:val="fr-CA"/>
        </w:rPr>
      </w:pPr>
    </w:p>
    <w:p w:rsidR="00B44749" w:rsidRPr="00B44749" w:rsidRDefault="00B44749" w:rsidP="00B44749">
      <w:pPr>
        <w:pStyle w:val="Headingb"/>
        <w:rPr>
          <w:lang w:val="fr-CH"/>
        </w:rPr>
      </w:pPr>
      <w:r w:rsidRPr="00B44749">
        <w:rPr>
          <w:lang w:val="fr-CH"/>
        </w:rPr>
        <w:t>Introduction</w:t>
      </w:r>
    </w:p>
    <w:p w:rsidR="00B44749" w:rsidRPr="00023F23" w:rsidRDefault="00B44749" w:rsidP="00741A0C">
      <w:pPr>
        <w:rPr>
          <w:lang w:val="fr-CH"/>
        </w:rPr>
      </w:pPr>
      <w:r>
        <w:rPr>
          <w:lang w:val="fr-CA"/>
        </w:rPr>
        <w:t xml:space="preserve">Au titre de ce point de l'ordre du jour, il est demandé à la CMR-15 de </w:t>
      </w:r>
      <w:r w:rsidRPr="00E65890">
        <w:rPr>
          <w:lang w:val="fr-CA"/>
        </w:rPr>
        <w:t xml:space="preserve">recommander au Conseil des points à inscrire à l'ordre du jour de la CMR suivante et </w:t>
      </w:r>
      <w:r w:rsidR="00741A0C">
        <w:rPr>
          <w:lang w:val="fr-CA"/>
        </w:rPr>
        <w:t>d'</w:t>
      </w:r>
      <w:r w:rsidRPr="00E65890">
        <w:rPr>
          <w:lang w:val="fr-CA"/>
        </w:rPr>
        <w:t xml:space="preserve">exposer ses vues sur l'ordre du jour préliminaire de la conférence ultérieure ainsi que sur des points éventuels à inscrire à l'ordre du jour de conférences futures, </w:t>
      </w:r>
      <w:r w:rsidR="00741A0C">
        <w:rPr>
          <w:lang w:val="fr-CA"/>
        </w:rPr>
        <w:t>compte tenu de</w:t>
      </w:r>
      <w:r w:rsidRPr="00E65890">
        <w:rPr>
          <w:lang w:val="fr-CA"/>
        </w:rPr>
        <w:t xml:space="preserve"> </w:t>
      </w:r>
      <w:r>
        <w:rPr>
          <w:lang w:val="fr-CA"/>
        </w:rPr>
        <w:t xml:space="preserve">la </w:t>
      </w:r>
      <w:r w:rsidRPr="00023F23">
        <w:rPr>
          <w:lang w:val="fr-CH"/>
        </w:rPr>
        <w:t>R</w:t>
      </w:r>
      <w:r>
        <w:rPr>
          <w:lang w:val="fr-CH"/>
        </w:rPr>
        <w:t>é</w:t>
      </w:r>
      <w:r w:rsidRPr="00023F23">
        <w:rPr>
          <w:lang w:val="fr-CH"/>
        </w:rPr>
        <w:t xml:space="preserve">solution </w:t>
      </w:r>
      <w:r w:rsidRPr="00023F23">
        <w:rPr>
          <w:bCs/>
          <w:lang w:val="fr-CH"/>
        </w:rPr>
        <w:t>808 (</w:t>
      </w:r>
      <w:r>
        <w:rPr>
          <w:bCs/>
          <w:lang w:val="fr-CH"/>
        </w:rPr>
        <w:t>CMR</w:t>
      </w:r>
      <w:r w:rsidRPr="00023F23">
        <w:rPr>
          <w:bCs/>
          <w:lang w:val="fr-CH"/>
        </w:rPr>
        <w:t>-12)</w:t>
      </w:r>
      <w:r w:rsidRPr="00023F23">
        <w:rPr>
          <w:lang w:val="fr-CH"/>
        </w:rPr>
        <w:t>.</w:t>
      </w:r>
    </w:p>
    <w:p w:rsidR="00B44749" w:rsidRPr="00023F23" w:rsidRDefault="00B44749" w:rsidP="00B44749">
      <w:pPr>
        <w:pStyle w:val="Headingb"/>
      </w:pPr>
      <w:r w:rsidRPr="00023F23">
        <w:t>Proposition</w:t>
      </w:r>
    </w:p>
    <w:p w:rsidR="00B44749" w:rsidRPr="00023F23" w:rsidRDefault="00B44749" w:rsidP="00B44749">
      <w:pPr>
        <w:rPr>
          <w:lang w:val="fr-CH"/>
        </w:rPr>
      </w:pPr>
      <w:r>
        <w:rPr>
          <w:lang w:val="fr-CH"/>
        </w:rPr>
        <w:t xml:space="preserve">Les Etats Membres de l’UAT </w:t>
      </w:r>
      <w:r w:rsidRPr="00E65890">
        <w:rPr>
          <w:lang w:val="fr-CH"/>
        </w:rPr>
        <w:t>sont favorables à l'inscription d'un point à l'ordre du jour de la CMR</w:t>
      </w:r>
      <w:r>
        <w:rPr>
          <w:lang w:val="fr-CH"/>
        </w:rPr>
        <w:noBreakHyphen/>
      </w:r>
      <w:r w:rsidRPr="00E65890">
        <w:rPr>
          <w:lang w:val="fr-CH"/>
        </w:rPr>
        <w:t xml:space="preserve">19 concernant l'attribution de </w:t>
      </w:r>
      <w:r>
        <w:rPr>
          <w:lang w:val="fr-CH"/>
        </w:rPr>
        <w:t>fréquences</w:t>
      </w:r>
      <w:r w:rsidRPr="00E65890">
        <w:rPr>
          <w:lang w:val="fr-CH"/>
        </w:rPr>
        <w:t xml:space="preserve"> </w:t>
      </w:r>
      <w:r>
        <w:rPr>
          <w:lang w:val="fr-CH"/>
        </w:rPr>
        <w:t>aux IMT après</w:t>
      </w:r>
      <w:r w:rsidR="00741A0C">
        <w:rPr>
          <w:lang w:val="fr-CH"/>
        </w:rPr>
        <w:t xml:space="preserve"> 2020</w:t>
      </w:r>
      <w:r w:rsidRPr="00023F23">
        <w:rPr>
          <w:lang w:val="fr-CH"/>
        </w:rPr>
        <w:t>:</w:t>
      </w:r>
    </w:p>
    <w:p w:rsidR="00B44749" w:rsidRPr="00B44749" w:rsidRDefault="00B44749" w:rsidP="00B44749">
      <w:pPr>
        <w:pStyle w:val="enumlev1"/>
      </w:pPr>
      <w:r w:rsidRPr="00B44749">
        <w:rPr>
          <w:rStyle w:val="BRNormal"/>
          <w:lang w:val="fr-CH"/>
        </w:rPr>
        <w:t>–</w:t>
      </w:r>
      <w:r w:rsidRPr="00E65890">
        <w:rPr>
          <w:rStyle w:val="BRNormal"/>
          <w:lang w:val="fr-CH"/>
        </w:rPr>
        <w:tab/>
      </w:r>
      <w:r w:rsidRPr="00B44749">
        <w:t xml:space="preserve">Appui à l'UIT-R pour qu'il entreprenne les études de partage et de compatibilité nécessaires entre le service mobile et d'autres services dans les mêmes bandes et </w:t>
      </w:r>
      <w:r w:rsidR="00741A0C">
        <w:t xml:space="preserve">dans </w:t>
      </w:r>
      <w:r w:rsidRPr="00B44749">
        <w:t>les bandes adjacentes, compte tenu des dispositions existantes du Règlement des radiocommunications, ainsi que de l'utilisation de ces bandes par d'autres services.</w:t>
      </w:r>
    </w:p>
    <w:p w:rsidR="00B44749" w:rsidRDefault="00B44749" w:rsidP="00741A0C">
      <w:pPr>
        <w:pStyle w:val="enumlev1"/>
      </w:pPr>
      <w:r w:rsidRPr="00B44749">
        <w:rPr>
          <w:rStyle w:val="BRNormal"/>
          <w:lang w:val="fr-CH"/>
        </w:rPr>
        <w:t>–</w:t>
      </w:r>
      <w:r w:rsidRPr="00E65890">
        <w:rPr>
          <w:rStyle w:val="BRNormal"/>
          <w:lang w:val="fr-CH"/>
        </w:rPr>
        <w:tab/>
      </w:r>
      <w:r w:rsidRPr="00B44749">
        <w:t>Appui aux études sur les questions liées aux fréquences en vue de l'identification de bandes de fréquences pour les IMT, y compris des attributions additionnelles possibles à titre primaire au</w:t>
      </w:r>
      <w:r w:rsidR="00741A0C">
        <w:t>x</w:t>
      </w:r>
      <w:r w:rsidRPr="00B44749">
        <w:t xml:space="preserve"> service</w:t>
      </w:r>
      <w:r w:rsidR="00741A0C">
        <w:t>s</w:t>
      </w:r>
      <w:r w:rsidRPr="00B44749">
        <w:t xml:space="preserve"> mobile</w:t>
      </w:r>
      <w:r w:rsidR="00741A0C">
        <w:t>s</w:t>
      </w:r>
      <w:r w:rsidRPr="00B44749">
        <w:t xml:space="preserve"> dans la totalité ou des parties des bandes de fréquences </w:t>
      </w:r>
      <w:r w:rsidR="00741A0C">
        <w:t>ci-après</w:t>
      </w:r>
      <w:r w:rsidRPr="00B44749">
        <w:t xml:space="preserve"> pour le développement futur des IMT à l'horizon 2020 et au-delà: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en-US"/>
        </w:rPr>
      </w:pPr>
      <w:r w:rsidRPr="005535B4">
        <w:rPr>
          <w:szCs w:val="24"/>
          <w:lang w:val="en-US"/>
        </w:rPr>
        <w:t>i)</w:t>
      </w:r>
      <w:r w:rsidRPr="005535B4">
        <w:rPr>
          <w:szCs w:val="24"/>
          <w:lang w:val="en-US"/>
        </w:rPr>
        <w:tab/>
        <w:t>7,075-8,5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en-US"/>
        </w:rPr>
      </w:pPr>
      <w:r w:rsidRPr="005535B4">
        <w:rPr>
          <w:szCs w:val="24"/>
          <w:lang w:val="en-US"/>
        </w:rPr>
        <w:t>ii)</w:t>
      </w:r>
      <w:r w:rsidRPr="005535B4">
        <w:rPr>
          <w:szCs w:val="24"/>
          <w:lang w:val="en-US"/>
        </w:rPr>
        <w:tab/>
        <w:t>8,5-10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en-US"/>
        </w:rPr>
      </w:pPr>
      <w:r w:rsidRPr="005535B4">
        <w:rPr>
          <w:szCs w:val="24"/>
          <w:lang w:val="en-US"/>
        </w:rPr>
        <w:t>iii)</w:t>
      </w:r>
      <w:r w:rsidRPr="005535B4">
        <w:rPr>
          <w:szCs w:val="24"/>
          <w:lang w:val="en-US"/>
        </w:rPr>
        <w:tab/>
        <w:t>10-10,5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iv)</w:t>
      </w:r>
      <w:r w:rsidRPr="005535B4">
        <w:rPr>
          <w:szCs w:val="24"/>
          <w:lang w:val="de-CH"/>
        </w:rPr>
        <w:tab/>
        <w:t>14,8-15,35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v)</w:t>
      </w:r>
      <w:r w:rsidRPr="005535B4">
        <w:rPr>
          <w:szCs w:val="24"/>
          <w:lang w:val="de-CH"/>
        </w:rPr>
        <w:tab/>
        <w:t>15,35-15,630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lastRenderedPageBreak/>
        <w:t>vi)</w:t>
      </w:r>
      <w:r w:rsidRPr="005535B4">
        <w:rPr>
          <w:szCs w:val="24"/>
          <w:lang w:val="de-CH"/>
        </w:rPr>
        <w:tab/>
        <w:t>15,630-17,3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vii)</w:t>
      </w:r>
      <w:r w:rsidRPr="005535B4">
        <w:rPr>
          <w:szCs w:val="24"/>
          <w:lang w:val="de-CH"/>
        </w:rPr>
        <w:tab/>
        <w:t>23,6-24,25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viii)</w:t>
      </w:r>
      <w:r w:rsidRPr="005535B4">
        <w:rPr>
          <w:szCs w:val="24"/>
          <w:lang w:val="de-CH"/>
        </w:rPr>
        <w:tab/>
        <w:t>26,5-27,5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ix)</w:t>
      </w:r>
      <w:r w:rsidRPr="005535B4">
        <w:rPr>
          <w:szCs w:val="24"/>
          <w:lang w:val="de-CH"/>
        </w:rPr>
        <w:tab/>
        <w:t>31,8-33,4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x)</w:t>
      </w:r>
      <w:r w:rsidRPr="005535B4">
        <w:rPr>
          <w:szCs w:val="24"/>
          <w:lang w:val="de-CH"/>
        </w:rPr>
        <w:tab/>
        <w:t>37-43,5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xi)</w:t>
      </w:r>
      <w:r w:rsidRPr="005535B4">
        <w:rPr>
          <w:szCs w:val="24"/>
          <w:lang w:val="de-CH"/>
        </w:rPr>
        <w:tab/>
        <w:t>45,5-50,2 GHz</w:t>
      </w:r>
    </w:p>
    <w:p w:rsidR="00B44749" w:rsidRPr="005535B4" w:rsidRDefault="00B44749" w:rsidP="00B44749">
      <w:pPr>
        <w:pStyle w:val="enumlev2"/>
        <w:ind w:left="1134" w:firstLine="0"/>
        <w:rPr>
          <w:szCs w:val="24"/>
          <w:lang w:val="de-CH"/>
        </w:rPr>
      </w:pPr>
      <w:r w:rsidRPr="005535B4">
        <w:rPr>
          <w:szCs w:val="24"/>
          <w:lang w:val="de-CH"/>
        </w:rPr>
        <w:t>xii)</w:t>
      </w:r>
      <w:r w:rsidRPr="005535B4">
        <w:rPr>
          <w:szCs w:val="24"/>
          <w:lang w:val="de-CH"/>
        </w:rPr>
        <w:tab/>
        <w:t>50,4-52,6 GHz</w:t>
      </w:r>
    </w:p>
    <w:p w:rsidR="00B44749" w:rsidRPr="00A636D1" w:rsidRDefault="00B44749" w:rsidP="00B44749">
      <w:pPr>
        <w:pStyle w:val="enumlev2"/>
        <w:ind w:left="1134" w:firstLine="0"/>
        <w:rPr>
          <w:szCs w:val="24"/>
        </w:rPr>
      </w:pPr>
      <w:r>
        <w:rPr>
          <w:szCs w:val="24"/>
        </w:rPr>
        <w:t>xiii)</w:t>
      </w:r>
      <w:r>
        <w:rPr>
          <w:szCs w:val="24"/>
        </w:rPr>
        <w:tab/>
        <w:t>55-</w:t>
      </w:r>
      <w:r w:rsidRPr="00A636D1">
        <w:rPr>
          <w:szCs w:val="24"/>
        </w:rPr>
        <w:t>76 GHz</w:t>
      </w:r>
    </w:p>
    <w:p w:rsidR="00B44749" w:rsidRPr="00A636D1" w:rsidRDefault="00B44749" w:rsidP="00B44749">
      <w:pPr>
        <w:pStyle w:val="enumlev2"/>
        <w:ind w:left="1134" w:firstLine="0"/>
        <w:rPr>
          <w:szCs w:val="24"/>
        </w:rPr>
      </w:pPr>
      <w:r>
        <w:rPr>
          <w:szCs w:val="24"/>
        </w:rPr>
        <w:t>xiv)</w:t>
      </w:r>
      <w:r>
        <w:rPr>
          <w:szCs w:val="24"/>
        </w:rPr>
        <w:tab/>
        <w:t>81-</w:t>
      </w:r>
      <w:r w:rsidRPr="00A636D1">
        <w:rPr>
          <w:szCs w:val="24"/>
        </w:rPr>
        <w:t>86 GHz.</w:t>
      </w:r>
    </w:p>
    <w:p w:rsidR="00B44749" w:rsidRDefault="00B44749" w:rsidP="0032202E">
      <w:pPr>
        <w:pStyle w:val="Reasons"/>
      </w:pPr>
      <w:bookmarkStart w:id="6" w:name="_GoBack"/>
      <w:bookmarkEnd w:id="6"/>
    </w:p>
    <w:p w:rsidR="00B44749" w:rsidRDefault="00B44749">
      <w:pPr>
        <w:jc w:val="center"/>
      </w:pPr>
      <w:r>
        <w:t>______________</w:t>
      </w:r>
    </w:p>
    <w:p w:rsidR="003A583E" w:rsidRDefault="003A583E" w:rsidP="00B44749">
      <w:pPr>
        <w:pStyle w:val="Reasons"/>
      </w:pPr>
    </w:p>
    <w:sectPr w:rsidR="003A583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B0371">
      <w:rPr>
        <w:noProof/>
        <w:lang w:val="en-US"/>
      </w:rPr>
      <w:t>P:\FRA\ITU-R\CONF-R\CMR15\000\028ADD25F.docx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35B4">
      <w:rPr>
        <w:noProof/>
      </w:rPr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371">
      <w:rPr>
        <w:noProof/>
      </w:rPr>
      <w:t>13.11.15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B0371">
      <w:rPr>
        <w:lang w:val="en-US"/>
      </w:rPr>
      <w:t>P:\FRA\ITU-R\CONF-R\CMR15\000\028ADD25F.docx</w:t>
    </w:r>
    <w:r>
      <w:fldChar w:fldCharType="end"/>
    </w:r>
    <w:r w:rsidR="00E5460D">
      <w:t xml:space="preserve"> (390201)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35B4"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371">
      <w:t>13.11.15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B0371">
      <w:rPr>
        <w:lang w:val="en-US"/>
      </w:rPr>
      <w:t>P:\FRA\ITU-R\CONF-R\CMR15\000\028ADD25F.docx</w:t>
    </w:r>
    <w:r>
      <w:fldChar w:fldCharType="end"/>
    </w:r>
    <w:r w:rsidR="00E5460D">
      <w:t xml:space="preserve"> (390201)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35B4"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371">
      <w:t>13.11.15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535B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49B3FE9"/>
    <w:multiLevelType w:val="hybridMultilevel"/>
    <w:tmpl w:val="37B44124"/>
    <w:lvl w:ilvl="0" w:tplc="AA00343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0371"/>
    <w:rsid w:val="000B2E0C"/>
    <w:rsid w:val="000B3D0C"/>
    <w:rsid w:val="000F4029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352ED"/>
    <w:rsid w:val="00466211"/>
    <w:rsid w:val="004834A9"/>
    <w:rsid w:val="004D01FC"/>
    <w:rsid w:val="004E28C3"/>
    <w:rsid w:val="004F1F8E"/>
    <w:rsid w:val="00512A32"/>
    <w:rsid w:val="005535B4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1A0C"/>
    <w:rsid w:val="007426B9"/>
    <w:rsid w:val="00764342"/>
    <w:rsid w:val="00770A0B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44749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2C2"/>
    <w:rsid w:val="00E049F1"/>
    <w:rsid w:val="00E37A25"/>
    <w:rsid w:val="00E537FF"/>
    <w:rsid w:val="00E5460D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4C588F2E-7322-4733-BCAE-3C7E051A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BRNormal">
    <w:name w:val="BR_Normal"/>
    <w:basedOn w:val="DefaultParagraphFont"/>
    <w:uiPriority w:val="1"/>
    <w:qFormat/>
    <w:rsid w:val="00B4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R15-WRC15-C-0028!A25!MSW-F</DPM_x0020_File_x0020_name>
    <DPM_x0020_Author xmlns="32a1a8c5-2265-4ebc-b7a0-2071e2c5c9bb" xsi:nil="false">Documents Proposals Manager (DPM)</DPM_x0020_Author>
    <DPM_x0020_Version xmlns="32a1a8c5-2265-4ebc-b7a0-2071e2c5c9bb" xsi:nil="false">DPM_v5.2015.11.131_prod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CCC9F0-1723-44E3-9F6D-AD8D1C0DEA7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infopath/2007/PartnerControls"/>
    <ds:schemaRef ds:uri="http://purl.org/dc/elements/1.1/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1795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R15-WRC15-C-0028!A25!MSW-F</vt:lpstr>
    </vt:vector>
  </TitlesOfParts>
  <Manager>Secrétariat général - Pool</Manager>
  <Company>Union internationale des télécommunications (UIT)</Company>
  <LinksUpToDate>false</LinksUpToDate>
  <CharactersWithSpaces>2105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R15-WRC15-C-0028!A25!MSW-F</dc:title>
  <dc:subject>Conférence mondiale des radiocommunications - 2015</dc:subject>
  <dc:creator>Documents Proposals Manager (DPM)</dc:creator>
  <cp:keywords>DPM_v5.2015.11.131_prod</cp:keywords>
  <dc:description/>
  <cp:lastModifiedBy>Saxod, Nathalie</cp:lastModifiedBy>
  <cp:revision>10</cp:revision>
  <cp:lastPrinted>2015-11-13T20:30:00Z</cp:lastPrinted>
  <dcterms:created xsi:type="dcterms:W3CDTF">2015-11-13T20:20:00Z</dcterms:created>
  <dcterms:modified xsi:type="dcterms:W3CDTF">2015-11-14T00:37:00Z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