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005"/>
        <w:gridCol w:w="896"/>
        <w:gridCol w:w="3130"/>
      </w:tblGrid>
      <w:tr w:rsidR="0090121B" w:rsidRPr="0002785D" w:rsidTr="000E6AE5">
        <w:trPr>
          <w:cantSplit/>
        </w:trPr>
        <w:tc>
          <w:tcPr>
            <w:tcW w:w="6901" w:type="dxa"/>
            <w:gridSpan w:val="2"/>
          </w:tcPr>
          <w:p w:rsidR="0090121B" w:rsidRPr="00A41E58" w:rsidRDefault="005D46FB" w:rsidP="0002785D">
            <w:pPr>
              <w:spacing w:before="400" w:after="48" w:line="240" w:lineRule="atLeast"/>
              <w:rPr>
                <w:rFonts w:ascii="Verdana" w:hAnsi="Verdana"/>
                <w:position w:val="6"/>
              </w:rPr>
            </w:pPr>
            <w:bookmarkStart w:id="0" w:name="_GoBack"/>
            <w:bookmarkEnd w:id="0"/>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30" w:type="dxa"/>
          </w:tcPr>
          <w:p w:rsidR="0090121B" w:rsidRPr="0002785D" w:rsidRDefault="00CE7431" w:rsidP="00CE7431">
            <w:pPr>
              <w:spacing w:before="0" w:line="240" w:lineRule="atLeast"/>
              <w:jc w:val="right"/>
              <w:rPr>
                <w:lang w:val="en-US"/>
              </w:rPr>
            </w:pPr>
            <w:bookmarkStart w:id="1" w:name="ditulogo"/>
            <w:bookmarkEnd w:id="1"/>
            <w:r>
              <w:rPr>
                <w:noProof/>
                <w:lang w:val="en-GB" w:eastAsia="zh-CN"/>
              </w:rPr>
              <w:drawing>
                <wp:inline distT="0" distB="0" distL="0" distR="0" wp14:anchorId="59B77B87" wp14:editId="6F0AE2E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0E6AE5">
        <w:trPr>
          <w:cantSplit/>
        </w:trPr>
        <w:tc>
          <w:tcPr>
            <w:tcW w:w="6901" w:type="dxa"/>
            <w:gridSpan w:val="2"/>
            <w:tcBorders>
              <w:bottom w:val="single" w:sz="12" w:space="0" w:color="auto"/>
            </w:tcBorders>
          </w:tcPr>
          <w:p w:rsidR="0090121B" w:rsidRPr="0002785D" w:rsidRDefault="00CE7431" w:rsidP="0090121B">
            <w:pPr>
              <w:spacing w:before="0" w:after="48" w:line="240" w:lineRule="atLeast"/>
              <w:rPr>
                <w:b/>
                <w:smallCaps/>
                <w:szCs w:val="24"/>
                <w:lang w:val="en-US"/>
              </w:rPr>
            </w:pPr>
            <w:bookmarkStart w:id="2" w:name="dhead"/>
            <w:r w:rsidRPr="009538D2">
              <w:rPr>
                <w:rFonts w:ascii="Verdana" w:hAnsi="Verdana"/>
                <w:b/>
                <w:smallCaps/>
                <w:sz w:val="20"/>
              </w:rPr>
              <w:t>UNIÓN INTERNACIONAL DE TELECOMUNICACIONES</w:t>
            </w:r>
          </w:p>
        </w:tc>
        <w:tc>
          <w:tcPr>
            <w:tcW w:w="313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0E6AE5">
        <w:trPr>
          <w:cantSplit/>
        </w:trPr>
        <w:tc>
          <w:tcPr>
            <w:tcW w:w="6005"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4026" w:type="dxa"/>
            <w:gridSpan w:val="2"/>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0E6AE5">
        <w:trPr>
          <w:cantSplit/>
        </w:trPr>
        <w:tc>
          <w:tcPr>
            <w:tcW w:w="6005" w:type="dxa"/>
            <w:shd w:val="clear" w:color="auto" w:fill="auto"/>
          </w:tcPr>
          <w:p w:rsidR="0090121B" w:rsidRPr="0064657B" w:rsidRDefault="00AE658F" w:rsidP="0045384C">
            <w:pPr>
              <w:spacing w:before="0"/>
              <w:rPr>
                <w:rFonts w:ascii="Verdana" w:hAnsi="Verdana"/>
                <w:b/>
                <w:sz w:val="20"/>
              </w:rPr>
            </w:pPr>
            <w:r w:rsidRPr="0064657B">
              <w:rPr>
                <w:rFonts w:ascii="Verdana" w:hAnsi="Verdana"/>
                <w:b/>
                <w:sz w:val="20"/>
              </w:rPr>
              <w:t>SESIÓN PLENARIA</w:t>
            </w:r>
          </w:p>
        </w:tc>
        <w:tc>
          <w:tcPr>
            <w:tcW w:w="4026" w:type="dxa"/>
            <w:gridSpan w:val="2"/>
            <w:shd w:val="clear" w:color="auto" w:fill="auto"/>
          </w:tcPr>
          <w:p w:rsidR="0090121B" w:rsidRPr="00F1335E" w:rsidRDefault="00AE658F" w:rsidP="0045384C">
            <w:pPr>
              <w:spacing w:before="0"/>
              <w:rPr>
                <w:rFonts w:ascii="Verdana" w:hAnsi="Verdana"/>
                <w:sz w:val="20"/>
              </w:rPr>
            </w:pPr>
            <w:r w:rsidRPr="00F1335E">
              <w:rPr>
                <w:rFonts w:ascii="Verdana" w:eastAsia="SimSun" w:hAnsi="Verdana" w:cs="Traditional Arabic"/>
                <w:b/>
                <w:sz w:val="20"/>
              </w:rPr>
              <w:t>Addéndum 8 al</w:t>
            </w:r>
            <w:r w:rsidRPr="00F1335E">
              <w:rPr>
                <w:rFonts w:ascii="Verdana" w:eastAsia="SimSun" w:hAnsi="Verdana" w:cs="Traditional Arabic"/>
                <w:b/>
                <w:sz w:val="20"/>
              </w:rPr>
              <w:br/>
              <w:t>Documento 28(Add.23)(Add.1)</w:t>
            </w:r>
            <w:r w:rsidR="0090121B" w:rsidRPr="00F1335E">
              <w:rPr>
                <w:rFonts w:ascii="Verdana" w:hAnsi="Verdana"/>
                <w:b/>
                <w:sz w:val="20"/>
              </w:rPr>
              <w:t>-</w:t>
            </w:r>
            <w:r w:rsidRPr="00F1335E">
              <w:rPr>
                <w:rFonts w:ascii="Verdana" w:hAnsi="Verdana"/>
                <w:b/>
                <w:sz w:val="20"/>
              </w:rPr>
              <w:t>S</w:t>
            </w:r>
          </w:p>
        </w:tc>
      </w:tr>
      <w:bookmarkEnd w:id="2"/>
      <w:tr w:rsidR="000A5B9A" w:rsidRPr="0002785D" w:rsidTr="000E6AE5">
        <w:trPr>
          <w:cantSplit/>
        </w:trPr>
        <w:tc>
          <w:tcPr>
            <w:tcW w:w="6005" w:type="dxa"/>
            <w:shd w:val="clear" w:color="auto" w:fill="auto"/>
          </w:tcPr>
          <w:p w:rsidR="000A5B9A" w:rsidRPr="0002785D" w:rsidRDefault="000A5B9A" w:rsidP="0045384C">
            <w:pPr>
              <w:spacing w:before="0" w:after="48"/>
              <w:rPr>
                <w:rFonts w:ascii="Verdana" w:hAnsi="Verdana"/>
                <w:b/>
                <w:smallCaps/>
                <w:sz w:val="20"/>
                <w:lang w:val="en-US"/>
              </w:rPr>
            </w:pPr>
          </w:p>
        </w:tc>
        <w:tc>
          <w:tcPr>
            <w:tcW w:w="4026" w:type="dxa"/>
            <w:gridSpan w:val="2"/>
            <w:shd w:val="clear" w:color="auto" w:fill="auto"/>
          </w:tcPr>
          <w:p w:rsidR="000A5B9A" w:rsidRPr="00F1335E" w:rsidRDefault="000A5B9A" w:rsidP="0045384C">
            <w:pPr>
              <w:spacing w:before="0"/>
              <w:rPr>
                <w:rFonts w:ascii="Verdana" w:hAnsi="Verdana"/>
                <w:b/>
                <w:sz w:val="20"/>
              </w:rPr>
            </w:pPr>
            <w:r w:rsidRPr="00F1335E">
              <w:rPr>
                <w:rFonts w:ascii="Verdana" w:hAnsi="Verdana"/>
                <w:b/>
                <w:sz w:val="20"/>
              </w:rPr>
              <w:t>16 de septiembre de 2015</w:t>
            </w:r>
          </w:p>
        </w:tc>
      </w:tr>
      <w:tr w:rsidR="000A5B9A" w:rsidRPr="0002785D" w:rsidTr="000E6AE5">
        <w:trPr>
          <w:cantSplit/>
        </w:trPr>
        <w:tc>
          <w:tcPr>
            <w:tcW w:w="6005" w:type="dxa"/>
          </w:tcPr>
          <w:p w:rsidR="000A5B9A" w:rsidRPr="0002785D" w:rsidRDefault="000A5B9A" w:rsidP="0045384C">
            <w:pPr>
              <w:spacing w:before="0" w:after="48"/>
              <w:rPr>
                <w:rFonts w:ascii="Verdana" w:hAnsi="Verdana"/>
                <w:b/>
                <w:smallCaps/>
                <w:sz w:val="20"/>
                <w:lang w:val="en-US"/>
              </w:rPr>
            </w:pPr>
          </w:p>
        </w:tc>
        <w:tc>
          <w:tcPr>
            <w:tcW w:w="4026" w:type="dxa"/>
            <w:gridSpan w:val="2"/>
          </w:tcPr>
          <w:p w:rsidR="000A5B9A" w:rsidRPr="00F1335E" w:rsidRDefault="000A5B9A" w:rsidP="0045384C">
            <w:pPr>
              <w:spacing w:before="0"/>
              <w:rPr>
                <w:rFonts w:ascii="Verdana" w:hAnsi="Verdana"/>
                <w:b/>
                <w:sz w:val="20"/>
              </w:rPr>
            </w:pPr>
            <w:r w:rsidRPr="00F1335E">
              <w:rPr>
                <w:rFonts w:ascii="Verdana" w:hAnsi="Verdana"/>
                <w:b/>
                <w:sz w:val="20"/>
              </w:rPr>
              <w:t>Original: inglés</w:t>
            </w:r>
          </w:p>
        </w:tc>
      </w:tr>
      <w:tr w:rsidR="000A5B9A" w:rsidRPr="0002785D" w:rsidTr="006744FC">
        <w:trPr>
          <w:cantSplit/>
        </w:trPr>
        <w:tc>
          <w:tcPr>
            <w:tcW w:w="10031" w:type="dxa"/>
            <w:gridSpan w:val="3"/>
          </w:tcPr>
          <w:p w:rsidR="000A5B9A" w:rsidRPr="00F1335E" w:rsidRDefault="000A5B9A" w:rsidP="0045384C">
            <w:pPr>
              <w:spacing w:before="0"/>
              <w:rPr>
                <w:rFonts w:ascii="Verdana" w:hAnsi="Verdana"/>
                <w:b/>
                <w:sz w:val="20"/>
              </w:rPr>
            </w:pPr>
          </w:p>
        </w:tc>
      </w:tr>
      <w:tr w:rsidR="000A5B9A" w:rsidRPr="0002785D" w:rsidTr="0050008E">
        <w:trPr>
          <w:cantSplit/>
        </w:trPr>
        <w:tc>
          <w:tcPr>
            <w:tcW w:w="10031" w:type="dxa"/>
            <w:gridSpan w:val="3"/>
          </w:tcPr>
          <w:p w:rsidR="000A5B9A" w:rsidRPr="00F1335E" w:rsidRDefault="000A5B9A" w:rsidP="000A5B9A">
            <w:pPr>
              <w:pStyle w:val="Source"/>
            </w:pPr>
            <w:bookmarkStart w:id="3" w:name="dsource" w:colFirst="0" w:colLast="0"/>
            <w:r w:rsidRPr="00F1335E">
              <w:t>Propuestas Comunes Africanas</w:t>
            </w:r>
          </w:p>
        </w:tc>
      </w:tr>
      <w:tr w:rsidR="000A5B9A" w:rsidRPr="00F1335E" w:rsidTr="0050008E">
        <w:trPr>
          <w:cantSplit/>
        </w:trPr>
        <w:tc>
          <w:tcPr>
            <w:tcW w:w="10031" w:type="dxa"/>
            <w:gridSpan w:val="3"/>
          </w:tcPr>
          <w:p w:rsidR="000A5B9A" w:rsidRPr="00F1335E" w:rsidRDefault="00F1335E" w:rsidP="00C06D42">
            <w:pPr>
              <w:pStyle w:val="Title1"/>
            </w:pPr>
            <w:bookmarkStart w:id="4" w:name="dtitle1" w:colFirst="0" w:colLast="0"/>
            <w:bookmarkEnd w:id="3"/>
            <w:r w:rsidRPr="00E3426F">
              <w:rPr>
                <w:lang w:val="es-ES"/>
              </w:rPr>
              <w:t>Propuestas para los trabajos de la conferencia</w:t>
            </w:r>
          </w:p>
        </w:tc>
      </w:tr>
      <w:tr w:rsidR="000A5B9A" w:rsidRPr="00F1335E" w:rsidTr="0050008E">
        <w:trPr>
          <w:cantSplit/>
        </w:trPr>
        <w:tc>
          <w:tcPr>
            <w:tcW w:w="10031" w:type="dxa"/>
            <w:gridSpan w:val="3"/>
          </w:tcPr>
          <w:p w:rsidR="000A5B9A" w:rsidRPr="00F1335E" w:rsidRDefault="000A5B9A" w:rsidP="000A5B9A">
            <w:pPr>
              <w:pStyle w:val="Title2"/>
            </w:pPr>
            <w:bookmarkStart w:id="5" w:name="dtitle2" w:colFirst="0" w:colLast="0"/>
            <w:bookmarkEnd w:id="4"/>
          </w:p>
        </w:tc>
      </w:tr>
      <w:tr w:rsidR="000A5B9A" w:rsidTr="0050008E">
        <w:trPr>
          <w:cantSplit/>
        </w:trPr>
        <w:tc>
          <w:tcPr>
            <w:tcW w:w="10031" w:type="dxa"/>
            <w:gridSpan w:val="3"/>
          </w:tcPr>
          <w:p w:rsidR="000A5B9A" w:rsidRDefault="000A5B9A" w:rsidP="000A5B9A">
            <w:pPr>
              <w:pStyle w:val="Agendaitem"/>
            </w:pPr>
            <w:bookmarkStart w:id="6" w:name="dtitle3" w:colFirst="0" w:colLast="0"/>
            <w:bookmarkEnd w:id="5"/>
            <w:r w:rsidRPr="00AE658F">
              <w:t>Punto 9.1(9.1.8) del orden del día</w:t>
            </w:r>
          </w:p>
        </w:tc>
      </w:tr>
      <w:bookmarkEnd w:id="6"/>
    </w:tbl>
    <w:p w:rsidR="001C0E40" w:rsidRPr="006C20F8" w:rsidRDefault="004F1FFB"/>
    <w:p w:rsidR="006C20F8" w:rsidRPr="00211854" w:rsidRDefault="00C10ACD" w:rsidP="006C20F8">
      <w:r w:rsidRPr="00211854">
        <w:t>9</w:t>
      </w:r>
      <w:r w:rsidRPr="00211854">
        <w:tab/>
        <w:t>examinar y aprobar el Informe del Director de la Oficina de Radiocomunicaciones, de conformidad con el Artículo 7 del Convenio:</w:t>
      </w:r>
    </w:p>
    <w:p w:rsidR="001C0E40" w:rsidRPr="00482C06" w:rsidRDefault="00C10ACD" w:rsidP="00482C06">
      <w:r w:rsidRPr="00211854">
        <w:t>9.1</w:t>
      </w:r>
      <w:r w:rsidRPr="00211854">
        <w:tab/>
        <w:t>sobre las actividades del Sector de Radiocomunicaciones desde la CMR-12;</w:t>
      </w:r>
    </w:p>
    <w:p w:rsidR="001C0E40" w:rsidRPr="00C91F41" w:rsidRDefault="00C10ACD" w:rsidP="0067784E">
      <w:r>
        <w:t xml:space="preserve">9.1(9.1.8) </w:t>
      </w:r>
      <w:r>
        <w:tab/>
      </w:r>
      <w:r w:rsidRPr="00A064AD">
        <w:t xml:space="preserve">Resolución </w:t>
      </w:r>
      <w:r w:rsidRPr="00061FA5">
        <w:rPr>
          <w:b/>
          <w:bCs/>
        </w:rPr>
        <w:t>757 (CMR-12)</w:t>
      </w:r>
      <w:r w:rsidRPr="00A064AD">
        <w:t xml:space="preserve"> - Aspectos reglamentarios de los nanosatélites y los picosatélites</w:t>
      </w:r>
    </w:p>
    <w:p w:rsidR="00363A65" w:rsidRDefault="00363A65" w:rsidP="009144C9"/>
    <w:p w:rsidR="008750A8" w:rsidRDefault="008750A8" w:rsidP="008750A8">
      <w:pPr>
        <w:tabs>
          <w:tab w:val="clear" w:pos="1134"/>
          <w:tab w:val="clear" w:pos="1871"/>
          <w:tab w:val="clear" w:pos="2268"/>
        </w:tabs>
        <w:overflowPunct/>
        <w:autoSpaceDE/>
        <w:autoSpaceDN/>
        <w:adjustRightInd/>
        <w:spacing w:before="0"/>
        <w:textAlignment w:val="auto"/>
      </w:pPr>
      <w:r>
        <w:br w:type="page"/>
      </w:r>
    </w:p>
    <w:p w:rsidR="00316A9D" w:rsidRPr="00A41E58" w:rsidRDefault="00C10ACD">
      <w:pPr>
        <w:pStyle w:val="Proposal"/>
        <w:rPr>
          <w:lang w:val="en-US"/>
        </w:rPr>
      </w:pPr>
      <w:r>
        <w:lastRenderedPageBreak/>
        <w:tab/>
      </w:r>
      <w:r w:rsidRPr="00A41E58">
        <w:rPr>
          <w:lang w:val="en-US"/>
        </w:rPr>
        <w:t>AFCP/28A23A1A8/1</w:t>
      </w:r>
    </w:p>
    <w:p w:rsidR="00E00364" w:rsidRPr="0064657B" w:rsidRDefault="0064657B" w:rsidP="001A405F">
      <w:r w:rsidRPr="0064657B">
        <w:t>Examen de procedimiento</w:t>
      </w:r>
      <w:r w:rsidR="001A405F">
        <w:t>s</w:t>
      </w:r>
      <w:r w:rsidRPr="0064657B">
        <w:t xml:space="preserve"> reglamentario</w:t>
      </w:r>
      <w:r w:rsidR="001A405F">
        <w:t>s</w:t>
      </w:r>
      <w:r w:rsidRPr="0064657B">
        <w:t xml:space="preserve"> simplificado</w:t>
      </w:r>
      <w:r w:rsidR="001A405F">
        <w:t>s</w:t>
      </w:r>
      <w:r w:rsidRPr="0064657B">
        <w:t xml:space="preserve"> para aplicación a los nanosat</w:t>
      </w:r>
      <w:r>
        <w:t>élites y picosatélites sin poner en desventaja los satélites normales, según se indica en</w:t>
      </w:r>
      <w:r w:rsidR="001A405F">
        <w:t xml:space="preserve"> </w:t>
      </w:r>
      <w:r>
        <w:t>el Informe de la RPC a la CMR-15, en los siguientes términos</w:t>
      </w:r>
      <w:r w:rsidR="00E00364" w:rsidRPr="0064657B">
        <w:t>:</w:t>
      </w:r>
    </w:p>
    <w:p w:rsidR="00E00364" w:rsidRPr="00FA30CE" w:rsidRDefault="00E00364" w:rsidP="00E00364">
      <w:pPr>
        <w:ind w:left="567"/>
      </w:pPr>
      <w:r w:rsidRPr="00FA30CE">
        <w:t>«Otra forma importante de atender este asunto sería considerar la posibilidad de modificar los procedimientos reglamentarios relativos a la notificación de redes de satélite para incorporar las misiones de nanosatélites y picosatélites. Quizá se haya de modificar las actuales disposiciones del RR relativas a la coordinación y notificación de redes de satélites para tener en cuenta el breve periodo de tiempo y las incertidumbres de los parámetros orbitales antes del lanzamiento de muchas misiones de nanosatélites y picosatélites. Esta labor podría realizarse en el marco de un punto del orden del día permanente de una futura CMR para la consideración de los procedimientos reglamentarios de notificación de redes de satélite».</w:t>
      </w:r>
    </w:p>
    <w:p w:rsidR="00316A9D" w:rsidRPr="0064657B" w:rsidRDefault="00C10ACD" w:rsidP="0064657B">
      <w:pPr>
        <w:pStyle w:val="Reasons"/>
      </w:pPr>
      <w:r w:rsidRPr="0064657B">
        <w:rPr>
          <w:b/>
        </w:rPr>
        <w:t>Motivos:</w:t>
      </w:r>
      <w:r w:rsidRPr="0064657B">
        <w:tab/>
      </w:r>
      <w:r w:rsidR="0064657B" w:rsidRPr="0064657B">
        <w:t>Alentar a los usuarios de nanosatélites y picosatélites a cumplir el reglamento de Radiocomunicaciones y a disfrutar de algunos procedimientos simplificados</w:t>
      </w:r>
      <w:r w:rsidR="00E00364" w:rsidRPr="0064657B">
        <w:t>.</w:t>
      </w:r>
    </w:p>
    <w:p w:rsidR="00F23CF2" w:rsidRPr="0064657B" w:rsidRDefault="00F23CF2" w:rsidP="00474D4C">
      <w:pPr>
        <w:pStyle w:val="Reasons"/>
      </w:pPr>
    </w:p>
    <w:p w:rsidR="00F23CF2" w:rsidRDefault="00F23CF2">
      <w:pPr>
        <w:jc w:val="center"/>
      </w:pPr>
      <w:r>
        <w:t>______________</w:t>
      </w:r>
    </w:p>
    <w:p w:rsidR="00F23CF2" w:rsidRPr="00E00364" w:rsidRDefault="00F23CF2" w:rsidP="00E00364">
      <w:pPr>
        <w:pStyle w:val="Reasons"/>
        <w:spacing w:line="480" w:lineRule="auto"/>
        <w:rPr>
          <w:lang w:val="en-US"/>
        </w:rPr>
      </w:pPr>
    </w:p>
    <w:sectPr w:rsidR="00F23CF2" w:rsidRPr="00E00364">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1A405F" w:rsidRDefault="0077084A">
    <w:pPr>
      <w:ind w:right="360"/>
    </w:pPr>
    <w:r>
      <w:fldChar w:fldCharType="begin"/>
    </w:r>
    <w:r w:rsidRPr="001A405F">
      <w:instrText xml:space="preserve"> FILENAME \p  \* MERGEFORMAT </w:instrText>
    </w:r>
    <w:r>
      <w:fldChar w:fldCharType="separate"/>
    </w:r>
    <w:r w:rsidR="004F1FFB">
      <w:rPr>
        <w:noProof/>
      </w:rPr>
      <w:t>P:\ESP\ITU-R\CONF-R\CMR15\000\028ADD23ADD01ADD08S.docx</w:t>
    </w:r>
    <w:r>
      <w:fldChar w:fldCharType="end"/>
    </w:r>
    <w:r w:rsidRPr="001A405F">
      <w:tab/>
    </w:r>
    <w:r>
      <w:fldChar w:fldCharType="begin"/>
    </w:r>
    <w:r>
      <w:instrText xml:space="preserve"> SAVEDATE \@ DD.MM.YY </w:instrText>
    </w:r>
    <w:r>
      <w:fldChar w:fldCharType="separate"/>
    </w:r>
    <w:r w:rsidR="004F1FFB">
      <w:rPr>
        <w:noProof/>
      </w:rPr>
      <w:t>01.10.15</w:t>
    </w:r>
    <w:r>
      <w:fldChar w:fldCharType="end"/>
    </w:r>
    <w:r w:rsidRPr="001A405F">
      <w:tab/>
    </w:r>
    <w:r>
      <w:fldChar w:fldCharType="begin"/>
    </w:r>
    <w:r>
      <w:instrText xml:space="preserve"> PRINTDATE \@ DD.MM.YY </w:instrText>
    </w:r>
    <w:r>
      <w:fldChar w:fldCharType="separate"/>
    </w:r>
    <w:r w:rsidR="004F1FFB">
      <w:rPr>
        <w:noProof/>
      </w:rPr>
      <w:t>01.10.15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5E" w:rsidRDefault="00F1335E" w:rsidP="00F1335E">
    <w:pPr>
      <w:pStyle w:val="Footer"/>
    </w:pPr>
    <w:fldSimple w:instr=" FILENAME \p  \* MERGEFORMAT ">
      <w:r w:rsidR="004F1FFB">
        <w:t>P:\ESP\ITU-R\CONF-R\CMR15\000\028ADD23ADD01ADD08S.docx</w:t>
      </w:r>
    </w:fldSimple>
    <w:r>
      <w:t xml:space="preserve"> (387053)</w:t>
    </w:r>
    <w:r>
      <w:tab/>
    </w:r>
    <w:r>
      <w:fldChar w:fldCharType="begin"/>
    </w:r>
    <w:r>
      <w:instrText xml:space="preserve"> SAVEDATE \@ DD.MM.YY </w:instrText>
    </w:r>
    <w:r>
      <w:fldChar w:fldCharType="separate"/>
    </w:r>
    <w:r w:rsidR="004F1FFB">
      <w:t>01.10.15</w:t>
    </w:r>
    <w:r>
      <w:fldChar w:fldCharType="end"/>
    </w:r>
    <w:r>
      <w:tab/>
    </w:r>
    <w:r>
      <w:fldChar w:fldCharType="begin"/>
    </w:r>
    <w:r>
      <w:instrText xml:space="preserve"> PRINTDATE \@ DD.MM.YY </w:instrText>
    </w:r>
    <w:r>
      <w:fldChar w:fldCharType="separate"/>
    </w:r>
    <w:r w:rsidR="004F1FFB">
      <w:t>01.10.15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35E" w:rsidRDefault="004F1FFB">
    <w:pPr>
      <w:pStyle w:val="Footer"/>
    </w:pPr>
    <w:r>
      <w:fldChar w:fldCharType="begin"/>
    </w:r>
    <w:r>
      <w:instrText xml:space="preserve"> FILENAME \p  \* MERGEFORMAT </w:instrText>
    </w:r>
    <w:r>
      <w:fldChar w:fldCharType="separate"/>
    </w:r>
    <w:r>
      <w:t>P:\ESP\ITU-R\CONF-R\CMR15\000\028ADD23ADD01ADD08S.docx</w:t>
    </w:r>
    <w:r>
      <w:fldChar w:fldCharType="end"/>
    </w:r>
    <w:r w:rsidR="00F1335E">
      <w:t xml:space="preserve"> (387053)</w:t>
    </w:r>
    <w:r w:rsidR="00F1335E">
      <w:tab/>
    </w:r>
    <w:r w:rsidR="00F1335E">
      <w:fldChar w:fldCharType="begin"/>
    </w:r>
    <w:r w:rsidR="00F1335E">
      <w:instrText xml:space="preserve"> SAVEDATE \@ DD.MM.YY </w:instrText>
    </w:r>
    <w:r w:rsidR="00F1335E">
      <w:fldChar w:fldCharType="separate"/>
    </w:r>
    <w:r>
      <w:t>01.10.15</w:t>
    </w:r>
    <w:r w:rsidR="00F1335E">
      <w:fldChar w:fldCharType="end"/>
    </w:r>
    <w:r w:rsidR="00F1335E">
      <w:tab/>
    </w:r>
    <w:r w:rsidR="00F1335E">
      <w:fldChar w:fldCharType="begin"/>
    </w:r>
    <w:r w:rsidR="00F1335E">
      <w:instrText xml:space="preserve"> PRINTDATE \@ DD.MM.YY </w:instrText>
    </w:r>
    <w:r w:rsidR="00F1335E">
      <w:fldChar w:fldCharType="separate"/>
    </w:r>
    <w:r>
      <w:t>01.10.15</w:t>
    </w:r>
    <w:r w:rsidR="00F1335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F1FFB">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28(Add.23)(Add.1)(Add.8)-</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E6AE5"/>
    <w:rsid w:val="000F0E6D"/>
    <w:rsid w:val="00121170"/>
    <w:rsid w:val="00123ACC"/>
    <w:rsid w:val="00123CC5"/>
    <w:rsid w:val="0015142D"/>
    <w:rsid w:val="001616DC"/>
    <w:rsid w:val="00163962"/>
    <w:rsid w:val="00191A97"/>
    <w:rsid w:val="001A083F"/>
    <w:rsid w:val="001A405F"/>
    <w:rsid w:val="001C41FA"/>
    <w:rsid w:val="001E2B52"/>
    <w:rsid w:val="001E3F27"/>
    <w:rsid w:val="00236D2A"/>
    <w:rsid w:val="00255F12"/>
    <w:rsid w:val="00262C09"/>
    <w:rsid w:val="002A791F"/>
    <w:rsid w:val="002C1B26"/>
    <w:rsid w:val="002C5D6C"/>
    <w:rsid w:val="002E701F"/>
    <w:rsid w:val="00316A9D"/>
    <w:rsid w:val="003248A9"/>
    <w:rsid w:val="00324FFA"/>
    <w:rsid w:val="0032680B"/>
    <w:rsid w:val="00363A65"/>
    <w:rsid w:val="003B1E8C"/>
    <w:rsid w:val="003C2508"/>
    <w:rsid w:val="003D0AA3"/>
    <w:rsid w:val="00440B3A"/>
    <w:rsid w:val="0045384C"/>
    <w:rsid w:val="00454553"/>
    <w:rsid w:val="00474D4C"/>
    <w:rsid w:val="004B124A"/>
    <w:rsid w:val="004F1FFB"/>
    <w:rsid w:val="005133B5"/>
    <w:rsid w:val="00532097"/>
    <w:rsid w:val="0058350F"/>
    <w:rsid w:val="00583C7E"/>
    <w:rsid w:val="005D46FB"/>
    <w:rsid w:val="005F2605"/>
    <w:rsid w:val="005F3B0E"/>
    <w:rsid w:val="005F559C"/>
    <w:rsid w:val="0064657B"/>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61642"/>
    <w:rsid w:val="00866AE6"/>
    <w:rsid w:val="008750A8"/>
    <w:rsid w:val="008D1677"/>
    <w:rsid w:val="008E5AF2"/>
    <w:rsid w:val="0090121B"/>
    <w:rsid w:val="009144C9"/>
    <w:rsid w:val="0094091F"/>
    <w:rsid w:val="00973754"/>
    <w:rsid w:val="009C0BED"/>
    <w:rsid w:val="009E11EC"/>
    <w:rsid w:val="00A118DB"/>
    <w:rsid w:val="00A41E58"/>
    <w:rsid w:val="00A4450C"/>
    <w:rsid w:val="00A65876"/>
    <w:rsid w:val="00AA5E6C"/>
    <w:rsid w:val="00AE5677"/>
    <w:rsid w:val="00AE658F"/>
    <w:rsid w:val="00AF2F78"/>
    <w:rsid w:val="00B239FA"/>
    <w:rsid w:val="00B52D55"/>
    <w:rsid w:val="00B8288C"/>
    <w:rsid w:val="00BE2E80"/>
    <w:rsid w:val="00BE5EDD"/>
    <w:rsid w:val="00BE6A1F"/>
    <w:rsid w:val="00C06D42"/>
    <w:rsid w:val="00C10ACD"/>
    <w:rsid w:val="00C126C4"/>
    <w:rsid w:val="00C63EB5"/>
    <w:rsid w:val="00CC01E0"/>
    <w:rsid w:val="00CD5FEE"/>
    <w:rsid w:val="00CE60D2"/>
    <w:rsid w:val="00CE7431"/>
    <w:rsid w:val="00D0288A"/>
    <w:rsid w:val="00D72A5D"/>
    <w:rsid w:val="00DC629B"/>
    <w:rsid w:val="00E00364"/>
    <w:rsid w:val="00E05BFF"/>
    <w:rsid w:val="00E262F1"/>
    <w:rsid w:val="00E3176A"/>
    <w:rsid w:val="00E54754"/>
    <w:rsid w:val="00E56BD3"/>
    <w:rsid w:val="00E71D14"/>
    <w:rsid w:val="00F1335E"/>
    <w:rsid w:val="00F23CF2"/>
    <w:rsid w:val="00F66597"/>
    <w:rsid w:val="00F675D0"/>
    <w:rsid w:val="00F8150C"/>
    <w:rsid w:val="00FA30CE"/>
    <w:rsid w:val="00FA474A"/>
    <w:rsid w:val="00FE4574"/>
    <w:rsid w:val="00FF6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CAA0FE9-3F55-472F-B6C6-3820D5C5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R15-WRC15-C-0028!A23-A1-A8!MSW-S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06A25BF2-D616-436C-B985-6B74A2674586}">
  <ds:schemaRefs>
    <ds:schemaRef ds:uri="32a1a8c5-2265-4ebc-b7a0-2071e2c5c9bb"/>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996b2e75-67fd-4955-a3b0-5ab9934cb50b"/>
    <ds:schemaRef ds:uri="http://www.w3.org/XML/1998/namespac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E132D-5E13-40AD-930A-88853E498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259</Words>
  <Characters>1559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R15-WRC15-C-0028!A23-A1-A8!MSW-S</vt:lpstr>
    </vt:vector>
  </TitlesOfParts>
  <Manager>Secretaría General - Pool</Manager>
  <Company>Unión Internacional de Telecomunicaciones (UIT)</Company>
  <LinksUpToDate>false</LinksUpToDate>
  <CharactersWithSpaces>1803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R15-WRC15-C-0028!A23-A1-A8!MSW-S</dc:title>
  <dc:subject>Conferencia Mundial de Radiocomunicaciones - 2015</dc:subject>
  <dc:creator>Documents Proposals Manager (DPM)</dc:creator>
  <cp:keywords>DPM_v5.2015.9.16_prod</cp:keywords>
  <dc:description/>
  <cp:lastModifiedBy>Garcia Prieto, M. Esperanza</cp:lastModifiedBy>
  <cp:revision>11</cp:revision>
  <cp:lastPrinted>2015-10-01T12:38:00Z</cp:lastPrinted>
  <dcterms:created xsi:type="dcterms:W3CDTF">2015-10-01T09:48:00Z</dcterms:created>
  <dcterms:modified xsi:type="dcterms:W3CDTF">2015-10-01T12:38:00Z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