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75"/>
        <w:tblW w:w="10031" w:type="dxa"/>
        <w:tblLayout w:type="fixed"/>
        <w:tblLook w:val="0000" w:firstRow="0" w:lastRow="0" w:firstColumn="0" w:lastColumn="0" w:noHBand="0" w:noVBand="0"/>
      </w:tblPr>
      <w:tblGrid>
        <w:gridCol w:w="5920"/>
        <w:gridCol w:w="4111"/>
      </w:tblGrid>
      <w:tr w:rsidR="00622560" w:rsidTr="00875F5A">
        <w:trPr>
          <w:cantSplit/>
        </w:trPr>
        <w:tc>
          <w:tcPr>
            <w:tcW w:w="5920"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111"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3B080454" wp14:editId="3D9AEFB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875F5A">
        <w:trPr>
          <w:cantSplit/>
        </w:trPr>
        <w:tc>
          <w:tcPr>
            <w:tcW w:w="5920"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111"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875F5A">
        <w:trPr>
          <w:cantSplit/>
        </w:trPr>
        <w:tc>
          <w:tcPr>
            <w:tcW w:w="5920"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111"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875F5A">
        <w:trPr>
          <w:cantSplit/>
          <w:trHeight w:val="23"/>
        </w:trPr>
        <w:tc>
          <w:tcPr>
            <w:tcW w:w="5920"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111" w:type="dxa"/>
            <w:shd w:val="clear" w:color="auto" w:fill="auto"/>
          </w:tcPr>
          <w:p w:rsidR="00622560" w:rsidRPr="00622560" w:rsidRDefault="000273B7" w:rsidP="007A2392">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w:t>
            </w:r>
            <w:r w:rsidR="007A2392">
              <w:rPr>
                <w:rFonts w:ascii="Verdana" w:hAnsi="Verdana" w:cs="Traditional Arabic"/>
                <w:b/>
                <w:sz w:val="20"/>
              </w:rPr>
              <w:t>23</w:t>
            </w:r>
            <w:r>
              <w:rPr>
                <w:rFonts w:ascii="Verdana" w:hAnsi="Verdana" w:cs="Traditional Arabic"/>
                <w:b/>
                <w:sz w:val="20"/>
              </w:rPr>
              <w:t>)(Add.</w:t>
            </w:r>
            <w:r w:rsidR="007A2392">
              <w:rPr>
                <w:rFonts w:ascii="Verdana" w:hAnsi="Verdana" w:cs="Traditional Arabic"/>
                <w:b/>
                <w:sz w:val="20"/>
              </w:rPr>
              <w:t>1</w:t>
            </w:r>
            <w:r>
              <w:rPr>
                <w:rFonts w:ascii="Verdana" w:hAnsi="Verdana" w:cs="Traditional Arabic"/>
                <w:b/>
                <w:sz w:val="20"/>
              </w:rPr>
              <w:t>)(Add.</w:t>
            </w:r>
            <w:r w:rsidR="007A2392">
              <w:rPr>
                <w:rFonts w:ascii="Verdana" w:hAnsi="Verdana" w:cs="Traditional Arabic"/>
                <w:b/>
                <w:sz w:val="20"/>
              </w:rPr>
              <w:t>8</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875F5A">
        <w:trPr>
          <w:cantSplit/>
          <w:trHeight w:val="23"/>
        </w:trPr>
        <w:tc>
          <w:tcPr>
            <w:tcW w:w="5920" w:type="dxa"/>
            <w:shd w:val="clear" w:color="auto" w:fill="auto"/>
          </w:tcPr>
          <w:p w:rsidR="008221A4" w:rsidRPr="00C324A8" w:rsidRDefault="008221A4" w:rsidP="00A466E6">
            <w:pPr>
              <w:spacing w:before="0"/>
              <w:rPr>
                <w:rFonts w:ascii="Verdana" w:hAnsi="Verdana"/>
                <w:b/>
                <w:smallCaps/>
                <w:sz w:val="20"/>
              </w:rPr>
            </w:pPr>
          </w:p>
        </w:tc>
        <w:tc>
          <w:tcPr>
            <w:tcW w:w="4111"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875F5A">
        <w:trPr>
          <w:cantSplit/>
          <w:trHeight w:val="23"/>
        </w:trPr>
        <w:tc>
          <w:tcPr>
            <w:tcW w:w="5920" w:type="dxa"/>
          </w:tcPr>
          <w:p w:rsidR="008221A4" w:rsidRPr="00CB4E5A" w:rsidRDefault="008221A4" w:rsidP="00A466E6">
            <w:pPr>
              <w:spacing w:before="0"/>
              <w:rPr>
                <w:rFonts w:ascii="Verdana" w:hAnsi="Verdana"/>
                <w:b/>
                <w:bCs/>
                <w:sz w:val="20"/>
              </w:rPr>
            </w:pPr>
          </w:p>
        </w:tc>
        <w:tc>
          <w:tcPr>
            <w:tcW w:w="4111"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875F5A">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rsidTr="00875F5A">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rsidTr="00875F5A">
        <w:trPr>
          <w:cantSplit/>
        </w:trPr>
        <w:tc>
          <w:tcPr>
            <w:tcW w:w="10031" w:type="dxa"/>
            <w:gridSpan w:val="2"/>
          </w:tcPr>
          <w:p w:rsidR="008221A4" w:rsidRDefault="007A2392" w:rsidP="008221A4">
            <w:pPr>
              <w:pStyle w:val="Title1"/>
            </w:pPr>
            <w:bookmarkStart w:id="5" w:name="dtitle1" w:colFirst="0" w:colLast="0"/>
            <w:bookmarkEnd w:id="4"/>
            <w:r>
              <w:rPr>
                <w:rFonts w:hint="eastAsia"/>
                <w:lang w:eastAsia="zh-CN"/>
              </w:rPr>
              <w:t>有关</w:t>
            </w:r>
            <w:r>
              <w:rPr>
                <w:lang w:eastAsia="zh-CN"/>
              </w:rPr>
              <w:t>大会工作的提案</w:t>
            </w:r>
          </w:p>
        </w:tc>
      </w:tr>
      <w:tr w:rsidR="008221A4" w:rsidTr="00875F5A">
        <w:trPr>
          <w:cantSplit/>
        </w:trPr>
        <w:tc>
          <w:tcPr>
            <w:tcW w:w="10031" w:type="dxa"/>
            <w:gridSpan w:val="2"/>
          </w:tcPr>
          <w:p w:rsidR="008221A4" w:rsidRDefault="008221A4" w:rsidP="008221A4">
            <w:pPr>
              <w:pStyle w:val="Title2"/>
            </w:pPr>
            <w:bookmarkStart w:id="6" w:name="dtitle2" w:colFirst="0" w:colLast="0"/>
            <w:bookmarkEnd w:id="5"/>
          </w:p>
        </w:tc>
      </w:tr>
      <w:tr w:rsidR="008221A4" w:rsidTr="00875F5A">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9.1(9.1.8)</w:t>
            </w:r>
          </w:p>
        </w:tc>
      </w:tr>
    </w:tbl>
    <w:bookmarkEnd w:id="7"/>
    <w:p w:rsidR="008B60D0" w:rsidRPr="00676FBA" w:rsidRDefault="00875F5A" w:rsidP="007A2392">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bookmarkStart w:id="8" w:name="_GoBack"/>
      <w:bookmarkEnd w:id="8"/>
    </w:p>
    <w:p w:rsidR="00090E12" w:rsidRPr="009C33AA" w:rsidRDefault="00875F5A"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Pr="00676FBA" w:rsidRDefault="00875F5A" w:rsidP="00367005">
      <w:pPr>
        <w:rPr>
          <w:lang w:eastAsia="zh-CN"/>
        </w:rPr>
      </w:pPr>
      <w:r w:rsidRPr="009C33AA">
        <w:rPr>
          <w:lang w:eastAsia="zh-CN"/>
        </w:rPr>
        <w:t>9.1</w:t>
      </w:r>
      <w:r>
        <w:rPr>
          <w:lang w:eastAsia="zh-CN"/>
        </w:rPr>
        <w:t>(9.1.8)</w:t>
      </w:r>
      <w:r w:rsidRPr="009C33AA">
        <w:rPr>
          <w:b/>
          <w:lang w:eastAsia="zh-CN"/>
        </w:rPr>
        <w:tab/>
      </w:r>
      <w:r>
        <w:rPr>
          <w:rFonts w:hint="eastAsia"/>
          <w:lang w:eastAsia="zh-CN"/>
        </w:rPr>
        <w:t>第</w:t>
      </w:r>
      <w:r w:rsidRPr="001D720F">
        <w:rPr>
          <w:rFonts w:hint="eastAsia"/>
          <w:b/>
          <w:bCs/>
          <w:lang w:eastAsia="zh-CN"/>
        </w:rPr>
        <w:t>757</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w:t>
      </w:r>
      <w:r w:rsidR="00A824CE" w:rsidRPr="00A824CE">
        <w:rPr>
          <w:rFonts w:hint="eastAsia"/>
          <w:lang w:eastAsia="zh-CN"/>
        </w:rPr>
        <w:t xml:space="preserve"> </w:t>
      </w:r>
      <w:r w:rsidR="00A824CE">
        <w:rPr>
          <w:lang w:eastAsia="zh-CN"/>
        </w:rPr>
        <w:t>–</w:t>
      </w:r>
      <w:r>
        <w:rPr>
          <w:rFonts w:hint="eastAsia"/>
          <w:lang w:eastAsia="zh-CN"/>
        </w:rPr>
        <w:t xml:space="preserve"> </w:t>
      </w:r>
      <w:r>
        <w:rPr>
          <w:rFonts w:hint="eastAsia"/>
          <w:lang w:eastAsia="zh-CN"/>
        </w:rPr>
        <w:t>微卫星和微小卫星的规则问题</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47EDA" w:rsidRDefault="00875F5A">
      <w:pPr>
        <w:pStyle w:val="Proposal"/>
        <w:rPr>
          <w:lang w:eastAsia="zh-CN"/>
        </w:rPr>
      </w:pPr>
      <w:r>
        <w:rPr>
          <w:lang w:eastAsia="zh-CN"/>
        </w:rPr>
        <w:lastRenderedPageBreak/>
        <w:tab/>
        <w:t>AFCP/28A23A1A8/1</w:t>
      </w:r>
    </w:p>
    <w:p w:rsidR="00147EDA" w:rsidRDefault="00FA23B2" w:rsidP="00FE7B7B">
      <w:pPr>
        <w:ind w:firstLineChars="200" w:firstLine="480"/>
        <w:rPr>
          <w:lang w:val="en-US" w:eastAsia="zh-CN"/>
        </w:rPr>
      </w:pPr>
      <w:r>
        <w:rPr>
          <w:rFonts w:hint="eastAsia"/>
          <w:lang w:eastAsia="zh-CN"/>
        </w:rPr>
        <w:t>如提交</w:t>
      </w:r>
      <w:r>
        <w:rPr>
          <w:rFonts w:hint="eastAsia"/>
          <w:lang w:eastAsia="zh-CN"/>
        </w:rPr>
        <w:t>WRC-15</w:t>
      </w:r>
      <w:r>
        <w:rPr>
          <w:rFonts w:hint="eastAsia"/>
          <w:lang w:eastAsia="zh-CN"/>
        </w:rPr>
        <w:t>的</w:t>
      </w:r>
      <w:r>
        <w:rPr>
          <w:rFonts w:hint="eastAsia"/>
          <w:lang w:eastAsia="zh-CN"/>
        </w:rPr>
        <w:t>CPM</w:t>
      </w:r>
      <w:r>
        <w:rPr>
          <w:rFonts w:hint="eastAsia"/>
          <w:lang w:eastAsia="zh-CN"/>
        </w:rPr>
        <w:t>报告所述，为在不影响主流卫星的情况下应用纳卫星和皮卫星，审议如下简化的规则程序：</w:t>
      </w:r>
    </w:p>
    <w:p w:rsidR="007A2392" w:rsidRDefault="007A2392" w:rsidP="007A2392">
      <w:pPr>
        <w:pStyle w:val="enumlev1"/>
        <w:rPr>
          <w:lang w:eastAsia="zh-CN"/>
        </w:rPr>
      </w:pPr>
      <w:r>
        <w:rPr>
          <w:lang w:eastAsia="zh-CN"/>
        </w:rPr>
        <w:tab/>
      </w:r>
      <w:r>
        <w:rPr>
          <w:rFonts w:hint="eastAsia"/>
          <w:lang w:eastAsia="zh-CN"/>
        </w:rPr>
        <w:t>“</w:t>
      </w:r>
      <w:r w:rsidRPr="009B7A8F">
        <w:rPr>
          <w:lang w:eastAsia="zh-CN"/>
        </w:rPr>
        <w:t>该问题的另一个相关回应可以是考虑修订申报卫星网络的现行规则程序，满足</w:t>
      </w:r>
      <w:r>
        <w:rPr>
          <w:rFonts w:hint="eastAsia"/>
          <w:lang w:eastAsia="zh-CN"/>
        </w:rPr>
        <w:t>纳卫星和皮卫星</w:t>
      </w:r>
      <w:r w:rsidRPr="009B7A8F">
        <w:rPr>
          <w:lang w:eastAsia="zh-CN"/>
        </w:rPr>
        <w:t>飞行任务的要求。《无线电规则》中</w:t>
      </w:r>
      <w:r>
        <w:rPr>
          <w:rFonts w:hint="eastAsia"/>
          <w:lang w:val="en-US" w:eastAsia="zh-CN"/>
        </w:rPr>
        <w:t>与卫星网络申报有关的</w:t>
      </w:r>
      <w:r w:rsidRPr="009B7A8F">
        <w:rPr>
          <w:lang w:eastAsia="zh-CN"/>
        </w:rPr>
        <w:t>现行协调和通知程序可能需要进行修订，以考虑许多</w:t>
      </w:r>
      <w:r>
        <w:rPr>
          <w:rFonts w:hint="eastAsia"/>
          <w:lang w:eastAsia="zh-CN"/>
        </w:rPr>
        <w:t>纳卫星和皮卫星</w:t>
      </w:r>
      <w:r w:rsidRPr="009B7A8F">
        <w:rPr>
          <w:lang w:eastAsia="zh-CN"/>
        </w:rPr>
        <w:t>飞行任务在发射前时间范围短，轨道参数不定的因素。这项工作可作为未来无线电通信大会有关审议通知卫星网络的规则程序的常设议项中的一个明确议项。</w:t>
      </w:r>
      <w:r>
        <w:rPr>
          <w:rFonts w:hint="eastAsia"/>
          <w:lang w:eastAsia="zh-CN"/>
        </w:rPr>
        <w:t>”</w:t>
      </w:r>
    </w:p>
    <w:p w:rsidR="00147EDA" w:rsidRDefault="00875F5A" w:rsidP="00FA23B2">
      <w:pPr>
        <w:pStyle w:val="Reasons"/>
        <w:rPr>
          <w:lang w:eastAsia="zh-CN"/>
        </w:rPr>
      </w:pPr>
      <w:r>
        <w:rPr>
          <w:b/>
          <w:lang w:eastAsia="zh-CN"/>
        </w:rPr>
        <w:t>理由：</w:t>
      </w:r>
      <w:r>
        <w:rPr>
          <w:lang w:eastAsia="zh-CN"/>
        </w:rPr>
        <w:tab/>
      </w:r>
      <w:r w:rsidR="00FA23B2">
        <w:rPr>
          <w:rFonts w:hint="eastAsia"/>
          <w:lang w:eastAsia="zh-CN"/>
        </w:rPr>
        <w:t>鼓励纳卫星和皮卫星用户在受益于一些简化程序的同时遵守《无线电规则》。</w:t>
      </w:r>
      <w:r w:rsidR="00FA23B2">
        <w:rPr>
          <w:rFonts w:hint="eastAsia"/>
          <w:lang w:eastAsia="zh-CN"/>
        </w:rPr>
        <w:t xml:space="preserve"> </w:t>
      </w:r>
    </w:p>
    <w:p w:rsidR="00354164" w:rsidRDefault="00354164" w:rsidP="0032202E">
      <w:pPr>
        <w:pStyle w:val="Reasons"/>
        <w:rPr>
          <w:lang w:eastAsia="zh-CN"/>
        </w:rPr>
      </w:pPr>
    </w:p>
    <w:p w:rsidR="00354164" w:rsidRDefault="00354164">
      <w:pPr>
        <w:jc w:val="center"/>
      </w:pPr>
      <w:r>
        <w:t>______________</w:t>
      </w:r>
    </w:p>
    <w:sectPr w:rsidR="00354164">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875F5A" w:rsidRDefault="00875F5A" w:rsidP="00875F5A">
    <w:pPr>
      <w:pStyle w:val="Footer"/>
      <w:rPr>
        <w:lang w:val="en-US"/>
      </w:rPr>
    </w:pPr>
    <w:r>
      <w:fldChar w:fldCharType="begin"/>
    </w:r>
    <w:r w:rsidRPr="00DA0469">
      <w:rPr>
        <w:lang w:val="en-US"/>
      </w:rPr>
      <w:instrText xml:space="preserve"> FILENAME \p \* MERGEFORMAT </w:instrText>
    </w:r>
    <w:r>
      <w:fldChar w:fldCharType="separate"/>
    </w:r>
    <w:r w:rsidR="00AA3E11">
      <w:rPr>
        <w:lang w:val="en-US"/>
      </w:rPr>
      <w:t>P:\CHI\ITU-R\CONF-R\CMR15\000\028ADD23ADD01ADD08C.docx</w:t>
    </w:r>
    <w:r>
      <w:fldChar w:fldCharType="end"/>
    </w:r>
    <w:r>
      <w:rPr>
        <w:lang w:val="en-US"/>
      </w:rPr>
      <w:t xml:space="preserve"> (387053)</w:t>
    </w:r>
    <w:r w:rsidRPr="00DA0469">
      <w:rPr>
        <w:lang w:val="en-US"/>
      </w:rPr>
      <w:tab/>
    </w:r>
    <w:r>
      <w:fldChar w:fldCharType="begin"/>
    </w:r>
    <w:r>
      <w:instrText xml:space="preserve"> savedate \@ dd.MM.yy </w:instrText>
    </w:r>
    <w:r>
      <w:fldChar w:fldCharType="separate"/>
    </w:r>
    <w:r w:rsidR="00AA3E11">
      <w:t>28.09.15</w:t>
    </w:r>
    <w:r>
      <w:fldChar w:fldCharType="end"/>
    </w:r>
    <w:r w:rsidRPr="00DA0469">
      <w:rPr>
        <w:lang w:val="en-US"/>
      </w:rPr>
      <w:tab/>
    </w:r>
    <w:r>
      <w:fldChar w:fldCharType="begin"/>
    </w:r>
    <w:r>
      <w:instrText xml:space="preserve"> printdate \@ dd.MM.yy </w:instrText>
    </w:r>
    <w:r>
      <w:fldChar w:fldCharType="separate"/>
    </w:r>
    <w:r w:rsidR="00AA3E11">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A3E11">
      <w:rPr>
        <w:lang w:val="en-US"/>
      </w:rPr>
      <w:t>P:\CHI\ITU-R\CONF-R\CMR15\000\028ADD23ADD01ADD08C.docx</w:t>
    </w:r>
    <w:r>
      <w:fldChar w:fldCharType="end"/>
    </w:r>
    <w:r w:rsidR="00875F5A">
      <w:rPr>
        <w:lang w:val="en-US"/>
      </w:rPr>
      <w:t xml:space="preserve"> (387053)</w:t>
    </w:r>
    <w:r w:rsidRPr="00DA0469">
      <w:rPr>
        <w:lang w:val="en-US"/>
      </w:rPr>
      <w:tab/>
    </w:r>
    <w:r>
      <w:fldChar w:fldCharType="begin"/>
    </w:r>
    <w:r>
      <w:instrText xml:space="preserve"> savedate \@ dd.MM.yy </w:instrText>
    </w:r>
    <w:r>
      <w:fldChar w:fldCharType="separate"/>
    </w:r>
    <w:r w:rsidR="00AA3E11">
      <w:t>28.09.15</w:t>
    </w:r>
    <w:r>
      <w:fldChar w:fldCharType="end"/>
    </w:r>
    <w:r w:rsidRPr="00DA0469">
      <w:rPr>
        <w:lang w:val="en-US"/>
      </w:rPr>
      <w:tab/>
    </w:r>
    <w:r>
      <w:fldChar w:fldCharType="begin"/>
    </w:r>
    <w:r>
      <w:instrText xml:space="preserve"> printdate \@ dd.MM.yy </w:instrText>
    </w:r>
    <w:r>
      <w:fldChar w:fldCharType="separate"/>
    </w:r>
    <w:r w:rsidR="00AA3E11">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A3E11">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28(Add.23)(Add.1)(Add.8)-</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47EDA"/>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54164"/>
    <w:rsid w:val="003B4BEF"/>
    <w:rsid w:val="003C6B45"/>
    <w:rsid w:val="0041282E"/>
    <w:rsid w:val="00437869"/>
    <w:rsid w:val="00465A34"/>
    <w:rsid w:val="004C4554"/>
    <w:rsid w:val="004D2DEC"/>
    <w:rsid w:val="004F2BE6"/>
    <w:rsid w:val="00527E8A"/>
    <w:rsid w:val="00542E85"/>
    <w:rsid w:val="00562479"/>
    <w:rsid w:val="00576849"/>
    <w:rsid w:val="005A0ACB"/>
    <w:rsid w:val="005A4740"/>
    <w:rsid w:val="005E08D2"/>
    <w:rsid w:val="005E7FD8"/>
    <w:rsid w:val="00622560"/>
    <w:rsid w:val="00644391"/>
    <w:rsid w:val="00647712"/>
    <w:rsid w:val="00662E12"/>
    <w:rsid w:val="00691142"/>
    <w:rsid w:val="006B67CE"/>
    <w:rsid w:val="006C38ED"/>
    <w:rsid w:val="006E6182"/>
    <w:rsid w:val="006F3C60"/>
    <w:rsid w:val="00736415"/>
    <w:rsid w:val="00770D2A"/>
    <w:rsid w:val="00771D08"/>
    <w:rsid w:val="007864F6"/>
    <w:rsid w:val="007A2392"/>
    <w:rsid w:val="007B7C4B"/>
    <w:rsid w:val="007F0FC5"/>
    <w:rsid w:val="007F5C36"/>
    <w:rsid w:val="008047DB"/>
    <w:rsid w:val="008129A9"/>
    <w:rsid w:val="008221A4"/>
    <w:rsid w:val="00824BD6"/>
    <w:rsid w:val="0083672D"/>
    <w:rsid w:val="00844734"/>
    <w:rsid w:val="00865DFB"/>
    <w:rsid w:val="00875F5A"/>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824CE"/>
    <w:rsid w:val="00AA3E11"/>
    <w:rsid w:val="00AA5DA1"/>
    <w:rsid w:val="00AE369F"/>
    <w:rsid w:val="00B026CB"/>
    <w:rsid w:val="00B711CC"/>
    <w:rsid w:val="00B851D4"/>
    <w:rsid w:val="00B868FC"/>
    <w:rsid w:val="00B87875"/>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A23B2"/>
    <w:rsid w:val="00FC59C4"/>
    <w:rsid w:val="00FE7B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22AFA9-49B1-4EC1-A5A0-B21B1C9C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R15-WRC15-C-0028!A23-A1-A8!MSW-C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866E0-C28A-4D21-9BF0-C51524556B52}">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996b2e75-67fd-4955-a3b0-5ab9934cb50b"/>
    <ds:schemaRef ds:uri="http://www.w3.org/XML/1998/namespace"/>
    <ds:schemaRef ds:uri="http://purl.org/dc/dcmitype/"/>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498</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R15-WRC15-C-0028!A23-A1-A8!MSW-C</vt:lpstr>
    </vt:vector>
  </TitlesOfParts>
  <Manager>General Secretariat - Pool</Manager>
  <Company>International Telecommunication Union (ITU)</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R15-WRC15-C-0028!A23-A1-A8!MSW-C</dc:title>
  <dc:subject>World Radiocommunication Conference - 2015</dc:subject>
  <dc:creator>Documents Proposals Manager (DPM)</dc:creator>
  <cp:keywords>DPM_v5.2015.9.16_prod</cp:keywords>
  <dc:description/>
  <cp:lastModifiedBy>Cong, Cong</cp:lastModifiedBy>
  <cp:revision>7</cp:revision>
  <cp:lastPrinted>2015-09-28T14:46:00Z</cp:lastPrinted>
  <dcterms:created xsi:type="dcterms:W3CDTF">2015-09-28T14:29:00Z</dcterms:created>
  <dcterms:modified xsi:type="dcterms:W3CDTF">2015-09-28T14:47:00Z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