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490" w:type="dxa"/>
        <w:tblLayout w:type="fixed"/>
        <w:tblLook w:val="0000" w:firstRow="0" w:lastRow="0" w:firstColumn="0" w:lastColumn="0" w:noHBand="0" w:noVBand="0"/>
      </w:tblPr>
      <w:tblGrid>
        <w:gridCol w:w="6621"/>
        <w:gridCol w:w="3869"/>
      </w:tblGrid>
      <w:tr w:rsidR="00BB1D82" w:rsidRPr="00A10EF3" w:rsidTr="00351BB3">
        <w:trPr>
          <w:cantSplit/>
        </w:trPr>
        <w:tc>
          <w:tcPr>
            <w:tcW w:w="6621" w:type="dxa"/>
            <w:tcMar>
              <w:left w:w="57" w:type="dxa"/>
              <w:right w:w="57" w:type="dxa"/>
            </w:tcMar>
          </w:tcPr>
          <w:p w:rsidR="00BB1D82" w:rsidRPr="00A10EF3" w:rsidRDefault="00851625" w:rsidP="00A10EF3">
            <w:pPr>
              <w:spacing w:before="400" w:after="48" w:line="240" w:lineRule="atLeast"/>
              <w:rPr>
                <w:rFonts w:ascii="Verdana" w:hAnsi="Verdana"/>
                <w:b/>
                <w:bCs/>
                <w:sz w:val="20"/>
              </w:rPr>
            </w:pPr>
            <w:r w:rsidRPr="00A10EF3">
              <w:rPr>
                <w:rFonts w:ascii="Verdana" w:hAnsi="Verdana"/>
                <w:b/>
                <w:bCs/>
                <w:sz w:val="20"/>
              </w:rPr>
              <w:t>Conférence mondiale des radiocommunications (CMR-15)</w:t>
            </w:r>
            <w:r w:rsidRPr="00A10EF3">
              <w:rPr>
                <w:rFonts w:ascii="Verdana" w:hAnsi="Verdana"/>
                <w:b/>
                <w:bCs/>
                <w:sz w:val="20"/>
              </w:rPr>
              <w:br/>
            </w:r>
            <w:r w:rsidRPr="00A10EF3">
              <w:rPr>
                <w:rFonts w:ascii="Verdana" w:hAnsi="Verdana"/>
                <w:b/>
                <w:bCs/>
                <w:sz w:val="18"/>
                <w:szCs w:val="18"/>
              </w:rPr>
              <w:t>Genève,</w:t>
            </w:r>
            <w:r w:rsidR="00E537FF" w:rsidRPr="00A10EF3">
              <w:rPr>
                <w:rFonts w:ascii="Verdana" w:hAnsi="Verdana"/>
                <w:b/>
                <w:bCs/>
                <w:sz w:val="18"/>
                <w:szCs w:val="18"/>
              </w:rPr>
              <w:t xml:space="preserve"> </w:t>
            </w:r>
            <w:r w:rsidRPr="00A10EF3">
              <w:rPr>
                <w:rFonts w:ascii="Verdana" w:hAnsi="Verdana"/>
                <w:b/>
                <w:bCs/>
                <w:sz w:val="18"/>
                <w:szCs w:val="18"/>
              </w:rPr>
              <w:t>2-27 novembre 2015</w:t>
            </w:r>
          </w:p>
        </w:tc>
        <w:tc>
          <w:tcPr>
            <w:tcW w:w="3869" w:type="dxa"/>
          </w:tcPr>
          <w:p w:rsidR="00BB1D82" w:rsidRPr="00A10EF3" w:rsidRDefault="002C28A4" w:rsidP="00A10EF3">
            <w:pPr>
              <w:spacing w:before="0" w:line="240" w:lineRule="atLeast"/>
              <w:jc w:val="right"/>
            </w:pPr>
            <w:bookmarkStart w:id="0" w:name="ditulogo"/>
            <w:bookmarkEnd w:id="0"/>
            <w:r w:rsidRPr="00A10EF3">
              <w:rPr>
                <w:noProof/>
                <w:lang w:val="en-GB" w:eastAsia="zh-CN"/>
              </w:rPr>
              <w:drawing>
                <wp:inline distT="0" distB="0" distL="0" distR="0" wp14:anchorId="3744D444" wp14:editId="66900E2A">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A10EF3" w:rsidTr="00351BB3">
        <w:trPr>
          <w:cantSplit/>
        </w:trPr>
        <w:tc>
          <w:tcPr>
            <w:tcW w:w="6621" w:type="dxa"/>
            <w:tcBorders>
              <w:bottom w:val="single" w:sz="12" w:space="0" w:color="auto"/>
            </w:tcBorders>
          </w:tcPr>
          <w:p w:rsidR="00BB1D82" w:rsidRPr="00A10EF3" w:rsidRDefault="002C28A4" w:rsidP="00A10EF3">
            <w:pPr>
              <w:spacing w:before="0" w:after="48" w:line="240" w:lineRule="atLeast"/>
              <w:rPr>
                <w:b/>
                <w:smallCaps/>
                <w:szCs w:val="24"/>
              </w:rPr>
            </w:pPr>
            <w:bookmarkStart w:id="1" w:name="dhead"/>
            <w:r w:rsidRPr="00A10EF3">
              <w:rPr>
                <w:rFonts w:ascii="Verdana" w:hAnsi="Verdana"/>
                <w:b/>
                <w:bCs/>
                <w:sz w:val="20"/>
              </w:rPr>
              <w:t>UNION INTERNATIONALE DES TÉLÉCOMMUNICATIONS</w:t>
            </w:r>
          </w:p>
        </w:tc>
        <w:tc>
          <w:tcPr>
            <w:tcW w:w="3869" w:type="dxa"/>
            <w:tcBorders>
              <w:bottom w:val="single" w:sz="12" w:space="0" w:color="auto"/>
            </w:tcBorders>
          </w:tcPr>
          <w:p w:rsidR="00BB1D82" w:rsidRPr="00A10EF3" w:rsidRDefault="00BB1D82" w:rsidP="00A10EF3">
            <w:pPr>
              <w:spacing w:before="0" w:line="240" w:lineRule="atLeast"/>
              <w:rPr>
                <w:rFonts w:ascii="Verdana" w:hAnsi="Verdana"/>
                <w:szCs w:val="24"/>
              </w:rPr>
            </w:pPr>
          </w:p>
        </w:tc>
      </w:tr>
      <w:tr w:rsidR="00BB1D82" w:rsidRPr="00A10EF3" w:rsidTr="00351BB3">
        <w:trPr>
          <w:cantSplit/>
        </w:trPr>
        <w:tc>
          <w:tcPr>
            <w:tcW w:w="6621" w:type="dxa"/>
            <w:tcBorders>
              <w:top w:val="single" w:sz="12" w:space="0" w:color="auto"/>
            </w:tcBorders>
          </w:tcPr>
          <w:p w:rsidR="00BB1D82" w:rsidRPr="00A10EF3" w:rsidRDefault="00BB1D82" w:rsidP="00A10EF3">
            <w:pPr>
              <w:spacing w:before="0" w:after="48" w:line="240" w:lineRule="atLeast"/>
              <w:rPr>
                <w:rFonts w:ascii="Verdana" w:hAnsi="Verdana"/>
                <w:b/>
                <w:smallCaps/>
                <w:sz w:val="20"/>
              </w:rPr>
            </w:pPr>
          </w:p>
        </w:tc>
        <w:tc>
          <w:tcPr>
            <w:tcW w:w="3869" w:type="dxa"/>
            <w:tcBorders>
              <w:top w:val="single" w:sz="12" w:space="0" w:color="auto"/>
            </w:tcBorders>
          </w:tcPr>
          <w:p w:rsidR="00BB1D82" w:rsidRPr="00A10EF3" w:rsidRDefault="00BB1D82" w:rsidP="00A10EF3">
            <w:pPr>
              <w:spacing w:before="0" w:line="240" w:lineRule="atLeast"/>
              <w:rPr>
                <w:rFonts w:ascii="Verdana" w:hAnsi="Verdana"/>
                <w:sz w:val="20"/>
              </w:rPr>
            </w:pPr>
          </w:p>
        </w:tc>
      </w:tr>
      <w:tr w:rsidR="00BB1D82" w:rsidRPr="00A10EF3" w:rsidTr="00351BB3">
        <w:trPr>
          <w:cantSplit/>
        </w:trPr>
        <w:tc>
          <w:tcPr>
            <w:tcW w:w="6621" w:type="dxa"/>
            <w:shd w:val="clear" w:color="auto" w:fill="auto"/>
          </w:tcPr>
          <w:p w:rsidR="00BB1D82" w:rsidRPr="00A10EF3" w:rsidRDefault="006D4724" w:rsidP="00A10EF3">
            <w:pPr>
              <w:spacing w:before="0"/>
              <w:rPr>
                <w:rFonts w:ascii="Verdana" w:hAnsi="Verdana"/>
                <w:b/>
                <w:sz w:val="20"/>
              </w:rPr>
            </w:pPr>
            <w:r w:rsidRPr="00A10EF3">
              <w:rPr>
                <w:rFonts w:ascii="Verdana" w:hAnsi="Verdana"/>
                <w:b/>
                <w:sz w:val="20"/>
              </w:rPr>
              <w:t>SÉANCE PLÉNIÈRE</w:t>
            </w:r>
          </w:p>
        </w:tc>
        <w:tc>
          <w:tcPr>
            <w:tcW w:w="3869" w:type="dxa"/>
            <w:shd w:val="clear" w:color="auto" w:fill="auto"/>
            <w:tcMar>
              <w:left w:w="57" w:type="dxa"/>
              <w:right w:w="57" w:type="dxa"/>
            </w:tcMar>
          </w:tcPr>
          <w:p w:rsidR="00BB1D82" w:rsidRPr="00A10EF3" w:rsidRDefault="006D4724" w:rsidP="00A10EF3">
            <w:pPr>
              <w:spacing w:before="0"/>
              <w:rPr>
                <w:rFonts w:ascii="Verdana" w:hAnsi="Verdana"/>
                <w:sz w:val="20"/>
              </w:rPr>
            </w:pPr>
            <w:r w:rsidRPr="00A10EF3">
              <w:rPr>
                <w:rFonts w:ascii="Verdana" w:eastAsia="SimSun" w:hAnsi="Verdana" w:cs="Traditional Arabic"/>
                <w:b/>
                <w:sz w:val="20"/>
              </w:rPr>
              <w:t>Addendum 6 au</w:t>
            </w:r>
            <w:r w:rsidRPr="00A10EF3">
              <w:rPr>
                <w:rFonts w:ascii="Verdana" w:eastAsia="SimSun" w:hAnsi="Verdana" w:cs="Traditional Arabic"/>
                <w:b/>
                <w:sz w:val="20"/>
              </w:rPr>
              <w:br/>
              <w:t>Document 28</w:t>
            </w:r>
            <w:r w:rsidR="00A443BF" w:rsidRPr="00A10EF3">
              <w:rPr>
                <w:rFonts w:ascii="Verdana" w:eastAsia="SimSun" w:hAnsi="Verdana" w:cs="Traditional Arabic"/>
                <w:b/>
                <w:sz w:val="20"/>
              </w:rPr>
              <w:t xml:space="preserve"> </w:t>
            </w:r>
            <w:r w:rsidRPr="00A10EF3">
              <w:rPr>
                <w:rFonts w:ascii="Verdana" w:eastAsia="SimSun" w:hAnsi="Verdana" w:cs="Traditional Arabic"/>
                <w:b/>
                <w:sz w:val="20"/>
              </w:rPr>
              <w:t>(Add.23)(Add.1)</w:t>
            </w:r>
            <w:r w:rsidR="00BB1D82" w:rsidRPr="00A10EF3">
              <w:rPr>
                <w:rFonts w:ascii="Verdana" w:hAnsi="Verdana"/>
                <w:b/>
                <w:sz w:val="20"/>
              </w:rPr>
              <w:t>-</w:t>
            </w:r>
            <w:r w:rsidRPr="00A10EF3">
              <w:rPr>
                <w:rFonts w:ascii="Verdana" w:hAnsi="Verdana"/>
                <w:b/>
                <w:sz w:val="20"/>
              </w:rPr>
              <w:t>F</w:t>
            </w:r>
          </w:p>
        </w:tc>
      </w:tr>
      <w:bookmarkEnd w:id="1"/>
      <w:tr w:rsidR="00690C7B" w:rsidRPr="00A10EF3" w:rsidTr="00351BB3">
        <w:trPr>
          <w:cantSplit/>
        </w:trPr>
        <w:tc>
          <w:tcPr>
            <w:tcW w:w="6621" w:type="dxa"/>
            <w:shd w:val="clear" w:color="auto" w:fill="auto"/>
          </w:tcPr>
          <w:p w:rsidR="00690C7B" w:rsidRPr="00A10EF3" w:rsidRDefault="00690C7B" w:rsidP="00A10EF3">
            <w:pPr>
              <w:spacing w:before="0"/>
              <w:rPr>
                <w:rFonts w:ascii="Verdana" w:hAnsi="Verdana"/>
                <w:b/>
                <w:sz w:val="20"/>
              </w:rPr>
            </w:pPr>
          </w:p>
        </w:tc>
        <w:tc>
          <w:tcPr>
            <w:tcW w:w="3869" w:type="dxa"/>
            <w:shd w:val="clear" w:color="auto" w:fill="auto"/>
            <w:tcMar>
              <w:left w:w="57" w:type="dxa"/>
              <w:right w:w="57" w:type="dxa"/>
            </w:tcMar>
          </w:tcPr>
          <w:p w:rsidR="00690C7B" w:rsidRPr="00A10EF3" w:rsidRDefault="00690C7B" w:rsidP="00A10EF3">
            <w:pPr>
              <w:spacing w:before="0"/>
              <w:rPr>
                <w:rFonts w:ascii="Verdana" w:hAnsi="Verdana"/>
                <w:b/>
                <w:sz w:val="20"/>
              </w:rPr>
            </w:pPr>
            <w:r w:rsidRPr="00A10EF3">
              <w:rPr>
                <w:rFonts w:ascii="Verdana" w:hAnsi="Verdana"/>
                <w:b/>
                <w:sz w:val="20"/>
              </w:rPr>
              <w:t>16 septembre 2015</w:t>
            </w:r>
          </w:p>
        </w:tc>
      </w:tr>
      <w:tr w:rsidR="00690C7B" w:rsidRPr="00A10EF3" w:rsidTr="00351BB3">
        <w:trPr>
          <w:cantSplit/>
        </w:trPr>
        <w:tc>
          <w:tcPr>
            <w:tcW w:w="6621" w:type="dxa"/>
          </w:tcPr>
          <w:p w:rsidR="00690C7B" w:rsidRPr="00A10EF3" w:rsidRDefault="00690C7B" w:rsidP="00A10EF3">
            <w:pPr>
              <w:spacing w:before="0" w:after="48"/>
              <w:rPr>
                <w:rFonts w:ascii="Verdana" w:hAnsi="Verdana"/>
                <w:b/>
                <w:smallCaps/>
                <w:sz w:val="20"/>
              </w:rPr>
            </w:pPr>
          </w:p>
        </w:tc>
        <w:tc>
          <w:tcPr>
            <w:tcW w:w="3869" w:type="dxa"/>
            <w:tcMar>
              <w:left w:w="57" w:type="dxa"/>
              <w:right w:w="57" w:type="dxa"/>
            </w:tcMar>
          </w:tcPr>
          <w:p w:rsidR="00690C7B" w:rsidRPr="00A10EF3" w:rsidRDefault="00690C7B" w:rsidP="00A10EF3">
            <w:pPr>
              <w:spacing w:before="0"/>
              <w:rPr>
                <w:rFonts w:ascii="Verdana" w:hAnsi="Verdana"/>
                <w:b/>
                <w:sz w:val="20"/>
              </w:rPr>
            </w:pPr>
            <w:r w:rsidRPr="00A10EF3">
              <w:rPr>
                <w:rFonts w:ascii="Verdana" w:hAnsi="Verdana"/>
                <w:b/>
                <w:sz w:val="20"/>
              </w:rPr>
              <w:t>Original: anglais</w:t>
            </w:r>
          </w:p>
        </w:tc>
      </w:tr>
      <w:tr w:rsidR="00690C7B" w:rsidRPr="00A10EF3" w:rsidTr="00A10EF3">
        <w:trPr>
          <w:cantSplit/>
        </w:trPr>
        <w:tc>
          <w:tcPr>
            <w:tcW w:w="10490" w:type="dxa"/>
            <w:gridSpan w:val="2"/>
          </w:tcPr>
          <w:p w:rsidR="00690C7B" w:rsidRPr="00A10EF3" w:rsidRDefault="00690C7B" w:rsidP="00A10EF3">
            <w:pPr>
              <w:spacing w:before="0"/>
              <w:rPr>
                <w:rFonts w:ascii="Verdana" w:hAnsi="Verdana"/>
                <w:b/>
                <w:sz w:val="20"/>
              </w:rPr>
            </w:pPr>
          </w:p>
        </w:tc>
      </w:tr>
      <w:tr w:rsidR="00690C7B" w:rsidRPr="00A10EF3" w:rsidTr="00A10EF3">
        <w:trPr>
          <w:cantSplit/>
        </w:trPr>
        <w:tc>
          <w:tcPr>
            <w:tcW w:w="10490" w:type="dxa"/>
            <w:gridSpan w:val="2"/>
          </w:tcPr>
          <w:p w:rsidR="00690C7B" w:rsidRPr="00A10EF3" w:rsidRDefault="00690C7B" w:rsidP="00A10EF3">
            <w:pPr>
              <w:pStyle w:val="Source"/>
            </w:pPr>
            <w:bookmarkStart w:id="2" w:name="dsource" w:colFirst="0" w:colLast="0"/>
            <w:r w:rsidRPr="00A10EF3">
              <w:t>Propositions africaines co</w:t>
            </w:r>
            <w:bookmarkStart w:id="3" w:name="_GoBack"/>
            <w:bookmarkEnd w:id="3"/>
            <w:r w:rsidRPr="00A10EF3">
              <w:t>mmunes</w:t>
            </w:r>
          </w:p>
        </w:tc>
      </w:tr>
      <w:tr w:rsidR="00690C7B" w:rsidRPr="00A10EF3" w:rsidTr="00A10EF3">
        <w:trPr>
          <w:cantSplit/>
        </w:trPr>
        <w:tc>
          <w:tcPr>
            <w:tcW w:w="10490" w:type="dxa"/>
            <w:gridSpan w:val="2"/>
          </w:tcPr>
          <w:p w:rsidR="00690C7B" w:rsidRPr="00A10EF3" w:rsidRDefault="001632DA" w:rsidP="00A10EF3">
            <w:pPr>
              <w:pStyle w:val="Title1"/>
            </w:pPr>
            <w:bookmarkStart w:id="4" w:name="dtitle1" w:colFirst="0" w:colLast="0"/>
            <w:bookmarkEnd w:id="2"/>
            <w:r w:rsidRPr="00A10EF3">
              <w:t>propositions pour les travaux de la conférence</w:t>
            </w:r>
          </w:p>
        </w:tc>
      </w:tr>
      <w:tr w:rsidR="00690C7B" w:rsidRPr="00A10EF3" w:rsidTr="00A10EF3">
        <w:trPr>
          <w:cantSplit/>
        </w:trPr>
        <w:tc>
          <w:tcPr>
            <w:tcW w:w="10490" w:type="dxa"/>
            <w:gridSpan w:val="2"/>
          </w:tcPr>
          <w:p w:rsidR="00690C7B" w:rsidRPr="00A10EF3" w:rsidRDefault="00690C7B" w:rsidP="00A10EF3">
            <w:pPr>
              <w:pStyle w:val="Title2"/>
            </w:pPr>
            <w:bookmarkStart w:id="5" w:name="dtitle2" w:colFirst="0" w:colLast="0"/>
            <w:bookmarkEnd w:id="4"/>
          </w:p>
        </w:tc>
      </w:tr>
      <w:tr w:rsidR="00690C7B" w:rsidRPr="00A10EF3" w:rsidTr="00A10EF3">
        <w:trPr>
          <w:cantSplit/>
        </w:trPr>
        <w:tc>
          <w:tcPr>
            <w:tcW w:w="10490" w:type="dxa"/>
            <w:gridSpan w:val="2"/>
          </w:tcPr>
          <w:p w:rsidR="00690C7B" w:rsidRPr="00A10EF3" w:rsidRDefault="00690C7B" w:rsidP="00A10EF3">
            <w:pPr>
              <w:pStyle w:val="Agendaitem"/>
              <w:rPr>
                <w:lang w:val="fr-FR"/>
              </w:rPr>
            </w:pPr>
            <w:bookmarkStart w:id="6" w:name="dtitle3" w:colFirst="0" w:colLast="0"/>
            <w:bookmarkEnd w:id="5"/>
            <w:r w:rsidRPr="00A10EF3">
              <w:rPr>
                <w:lang w:val="fr-FR"/>
              </w:rPr>
              <w:t>Point 9.1(9.1.6) de l'ordre du jour</w:t>
            </w:r>
          </w:p>
        </w:tc>
      </w:tr>
    </w:tbl>
    <w:bookmarkEnd w:id="6"/>
    <w:p w:rsidR="001C0E40" w:rsidRPr="00A10EF3" w:rsidRDefault="00AB3FF4" w:rsidP="00FB05A7">
      <w:r w:rsidRPr="00A10EF3">
        <w:t>9</w:t>
      </w:r>
      <w:r w:rsidRPr="00A10EF3">
        <w:tab/>
        <w:t>examiner et approuver le rapport du Directeur du Bureau des radiocommunications, conformément à l'article 7 de la Convention:</w:t>
      </w:r>
    </w:p>
    <w:p w:rsidR="001C0E40" w:rsidRPr="00A10EF3" w:rsidRDefault="00AB3FF4" w:rsidP="00D4336F">
      <w:r w:rsidRPr="00A10EF3">
        <w:t>9.1</w:t>
      </w:r>
      <w:r w:rsidRPr="00A10EF3">
        <w:tab/>
        <w:t>sur les activités du Secteur des radiocommunications depuis la CMR</w:t>
      </w:r>
      <w:r w:rsidRPr="00A10EF3">
        <w:noBreakHyphen/>
        <w:t xml:space="preserve">12; </w:t>
      </w:r>
    </w:p>
    <w:p w:rsidR="001C0E40" w:rsidRPr="00A10EF3" w:rsidRDefault="00AB3FF4" w:rsidP="008F7B44">
      <w:r w:rsidRPr="00A10EF3">
        <w:t xml:space="preserve">9.1(9.1.6) </w:t>
      </w:r>
      <w:r w:rsidRPr="00A10EF3">
        <w:tab/>
        <w:t xml:space="preserve">Résolution </w:t>
      </w:r>
      <w:r w:rsidRPr="00A10EF3">
        <w:rPr>
          <w:b/>
          <w:bCs/>
        </w:rPr>
        <w:t>957 (CMR-12)</w:t>
      </w:r>
      <w:r w:rsidRPr="00A10EF3">
        <w:t xml:space="preserve"> – Etudes en vue de l'examen des définitions des termes service fixe, station fixe et station mobile</w:t>
      </w:r>
    </w:p>
    <w:p w:rsidR="003A583E" w:rsidRPr="00A10EF3" w:rsidRDefault="003A583E" w:rsidP="00786598"/>
    <w:p w:rsidR="0015203F" w:rsidRPr="00A10EF3" w:rsidRDefault="0015203F">
      <w:pPr>
        <w:tabs>
          <w:tab w:val="clear" w:pos="1134"/>
          <w:tab w:val="clear" w:pos="1871"/>
          <w:tab w:val="clear" w:pos="2268"/>
        </w:tabs>
        <w:overflowPunct/>
        <w:autoSpaceDE/>
        <w:autoSpaceDN/>
        <w:adjustRightInd/>
        <w:spacing w:before="0"/>
        <w:textAlignment w:val="auto"/>
      </w:pPr>
      <w:r w:rsidRPr="00A10EF3">
        <w:br w:type="page"/>
      </w:r>
    </w:p>
    <w:p w:rsidR="00D065C7" w:rsidRPr="00A10EF3" w:rsidRDefault="00AB3FF4">
      <w:pPr>
        <w:pStyle w:val="Proposal"/>
      </w:pPr>
      <w:r w:rsidRPr="00A10EF3">
        <w:rPr>
          <w:u w:val="single"/>
        </w:rPr>
        <w:lastRenderedPageBreak/>
        <w:t>NOC</w:t>
      </w:r>
      <w:r w:rsidRPr="00A10EF3">
        <w:tab/>
        <w:t>AFCP/28A23A1A6/1</w:t>
      </w:r>
    </w:p>
    <w:p w:rsidR="004A6A8C" w:rsidRPr="00A10EF3" w:rsidRDefault="00AB3FF4" w:rsidP="00D94B99">
      <w:pPr>
        <w:pStyle w:val="ArtNo"/>
      </w:pPr>
      <w:r w:rsidRPr="00A10EF3">
        <w:t xml:space="preserve">ARTICLE </w:t>
      </w:r>
      <w:r w:rsidRPr="00A10EF3">
        <w:rPr>
          <w:rStyle w:val="href"/>
          <w:color w:val="000000"/>
        </w:rPr>
        <w:t>1</w:t>
      </w:r>
    </w:p>
    <w:p w:rsidR="004A6A8C" w:rsidRPr="00A10EF3" w:rsidRDefault="00AB3FF4" w:rsidP="00D94B99">
      <w:pPr>
        <w:pStyle w:val="Arttitle"/>
      </w:pPr>
      <w:r w:rsidRPr="00A10EF3">
        <w:t>Termes et définitions</w:t>
      </w:r>
    </w:p>
    <w:p w:rsidR="001632DA" w:rsidRPr="00A10EF3" w:rsidRDefault="00AB3FF4" w:rsidP="001632DA">
      <w:pPr>
        <w:pStyle w:val="Reasons"/>
      </w:pPr>
      <w:r w:rsidRPr="00A10EF3">
        <w:rPr>
          <w:b/>
        </w:rPr>
        <w:t>Motifs:</w:t>
      </w:r>
      <w:r w:rsidRPr="00A10EF3">
        <w:tab/>
      </w:r>
      <w:r w:rsidR="001632DA" w:rsidRPr="00A10EF3">
        <w:t>Les groupes de travail ayant contribué à l'examen, responsables des services par satellite et des services de Terre, ont indiqué:</w:t>
      </w:r>
    </w:p>
    <w:p w:rsidR="001632DA" w:rsidRPr="00A10EF3" w:rsidRDefault="00551EEE" w:rsidP="001632DA">
      <w:pPr>
        <w:pStyle w:val="Reasons"/>
      </w:pPr>
      <w:r w:rsidRPr="00A10EF3">
        <w:t>1)</w:t>
      </w:r>
      <w:r w:rsidR="001632DA" w:rsidRPr="00A10EF3">
        <w:tab/>
        <w:t>que les propositions de modification des définitions des termes service fixe, station fixe et station mobile ont fait l'objet d'un examen approfondi lors des deux CMR précédentes;</w:t>
      </w:r>
    </w:p>
    <w:p w:rsidR="001632DA" w:rsidRPr="00A10EF3" w:rsidRDefault="00551EEE" w:rsidP="001632DA">
      <w:pPr>
        <w:pStyle w:val="Reasons"/>
      </w:pPr>
      <w:r w:rsidRPr="00A10EF3">
        <w:t>2)</w:t>
      </w:r>
      <w:r w:rsidR="001632DA" w:rsidRPr="00A10EF3">
        <w:tab/>
        <w:t>que ces modifications nuiraient au bon fonctionnement de divers services/systèmes de radiocommunication par satellite, étant donné qu'elles auraient pour effet de changer complètement les conditions de partage des fréquences et de gestion des brouillages pour les services spatiaux, et de rendre très difficile, voire impossible, la tâche des administrations en ce qui concerne le processus de coordination entre les réseaux à satellite et les services de Terre;</w:t>
      </w:r>
    </w:p>
    <w:p w:rsidR="00D065C7" w:rsidRPr="00A10EF3" w:rsidRDefault="00551EEE" w:rsidP="001632DA">
      <w:pPr>
        <w:pStyle w:val="Reasons"/>
      </w:pPr>
      <w:r w:rsidRPr="00A10EF3">
        <w:t>3)</w:t>
      </w:r>
      <w:r w:rsidR="001632DA" w:rsidRPr="00A10EF3">
        <w:tab/>
        <w:t>que les définitions en vigueur ne posant à leur connaissance aucun problème, il n'est pas nécessaire d'apporter de modifications aux définitions des termes service fixe, station fixe et station mobile au titre de ce point de l'ordre de jour.</w:t>
      </w:r>
    </w:p>
    <w:p w:rsidR="00D065C7" w:rsidRPr="00A10EF3" w:rsidRDefault="00AB3FF4">
      <w:pPr>
        <w:pStyle w:val="Proposal"/>
      </w:pPr>
      <w:r w:rsidRPr="00A10EF3">
        <w:t>SUP</w:t>
      </w:r>
      <w:r w:rsidRPr="00A10EF3">
        <w:tab/>
        <w:t>AFCP/28A23A1A6/2</w:t>
      </w:r>
    </w:p>
    <w:p w:rsidR="00DD4258" w:rsidRPr="00A10EF3" w:rsidRDefault="00AB3FF4" w:rsidP="00DD4258">
      <w:pPr>
        <w:pStyle w:val="ResNo"/>
      </w:pPr>
      <w:r w:rsidRPr="00A10EF3">
        <w:t xml:space="preserve">RÉSOLUTION </w:t>
      </w:r>
      <w:r w:rsidRPr="00A10EF3">
        <w:rPr>
          <w:rStyle w:val="href"/>
        </w:rPr>
        <w:t>957</w:t>
      </w:r>
      <w:r w:rsidRPr="00A10EF3">
        <w:t xml:space="preserve"> (CMR-12)</w:t>
      </w:r>
    </w:p>
    <w:p w:rsidR="00DD4258" w:rsidRPr="00A10EF3" w:rsidRDefault="00AB3FF4" w:rsidP="00AC1F0E">
      <w:pPr>
        <w:pStyle w:val="Restitle"/>
      </w:pPr>
      <w:r w:rsidRPr="00A10EF3">
        <w:t xml:space="preserve">Etudes en vue de l'examen des définitions des termes </w:t>
      </w:r>
      <w:r w:rsidRPr="00A10EF3">
        <w:rPr>
          <w:i/>
          <w:iCs/>
        </w:rPr>
        <w:t>service fixe</w:t>
      </w:r>
      <w:r w:rsidRPr="00A10EF3">
        <w:t xml:space="preserve">, </w:t>
      </w:r>
      <w:r w:rsidRPr="00A10EF3">
        <w:br/>
      </w:r>
      <w:r w:rsidRPr="00A10EF3">
        <w:rPr>
          <w:i/>
          <w:iCs/>
        </w:rPr>
        <w:t>station fixe</w:t>
      </w:r>
      <w:r w:rsidRPr="00A10EF3">
        <w:t xml:space="preserve"> et </w:t>
      </w:r>
      <w:r w:rsidRPr="00A10EF3">
        <w:rPr>
          <w:i/>
          <w:iCs/>
        </w:rPr>
        <w:t>station mobile</w:t>
      </w:r>
    </w:p>
    <w:p w:rsidR="00D065C7" w:rsidRPr="00A10EF3" w:rsidRDefault="00AB3FF4" w:rsidP="00C543E1">
      <w:pPr>
        <w:pStyle w:val="Reasons"/>
      </w:pPr>
      <w:r w:rsidRPr="00A10EF3">
        <w:rPr>
          <w:b/>
        </w:rPr>
        <w:t>Motifs:</w:t>
      </w:r>
      <w:r w:rsidRPr="00A10EF3">
        <w:tab/>
      </w:r>
      <w:r w:rsidR="00C543E1" w:rsidRPr="00A10EF3">
        <w:t>Si la méthode proposée est approuvée par la CMR-15, la Résolution 957 n</w:t>
      </w:r>
      <w:r w:rsidR="00B168B3" w:rsidRPr="00A10EF3">
        <w:t>'</w:t>
      </w:r>
      <w:r w:rsidR="00C543E1" w:rsidRPr="00A10EF3">
        <w:t>aura plus lieu d</w:t>
      </w:r>
      <w:r w:rsidR="00B168B3" w:rsidRPr="00A10EF3">
        <w:t>'</w:t>
      </w:r>
      <w:r w:rsidR="00C543E1" w:rsidRPr="00A10EF3">
        <w:t>être.</w:t>
      </w:r>
    </w:p>
    <w:p w:rsidR="00DD335C" w:rsidRPr="00A10EF3" w:rsidRDefault="00DD335C" w:rsidP="00C543E1">
      <w:pPr>
        <w:pStyle w:val="Reasons"/>
      </w:pPr>
    </w:p>
    <w:p w:rsidR="00DD335C" w:rsidRPr="00A10EF3" w:rsidRDefault="00DD335C" w:rsidP="0032202E">
      <w:pPr>
        <w:pStyle w:val="Reasons"/>
      </w:pPr>
    </w:p>
    <w:p w:rsidR="00DD335C" w:rsidRPr="00A10EF3" w:rsidRDefault="00DD335C">
      <w:pPr>
        <w:jc w:val="center"/>
      </w:pPr>
      <w:r w:rsidRPr="00A10EF3">
        <w:t>______________</w:t>
      </w:r>
    </w:p>
    <w:p w:rsidR="00DD335C" w:rsidRPr="00A10EF3" w:rsidRDefault="00DD335C" w:rsidP="00C543E1">
      <w:pPr>
        <w:pStyle w:val="Reasons"/>
      </w:pPr>
    </w:p>
    <w:sectPr w:rsidR="00DD335C" w:rsidRPr="00A10EF3">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FF4" w:rsidRDefault="00AB3FF4">
      <w:r>
        <w:separator/>
      </w:r>
    </w:p>
  </w:endnote>
  <w:endnote w:type="continuationSeparator" w:id="0">
    <w:p w:rsidR="00AB3FF4" w:rsidRDefault="00AB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6C4F85">
      <w:rPr>
        <w:noProof/>
        <w:lang w:val="en-US"/>
      </w:rPr>
      <w:t>P:\FRA\ITU-R\CONF-R\CMR15\000\028ADD23ADD01ADD06F.docx</w:t>
    </w:r>
    <w:r>
      <w:fldChar w:fldCharType="end"/>
    </w:r>
    <w:r>
      <w:rPr>
        <w:lang w:val="en-US"/>
      </w:rPr>
      <w:tab/>
    </w:r>
    <w:r>
      <w:fldChar w:fldCharType="begin"/>
    </w:r>
    <w:r>
      <w:instrText xml:space="preserve"> SAVEDATE \@ DD.MM.YY </w:instrText>
    </w:r>
    <w:r>
      <w:fldChar w:fldCharType="separate"/>
    </w:r>
    <w:r w:rsidR="006C4F85">
      <w:rPr>
        <w:noProof/>
      </w:rPr>
      <w:t>01.10.15</w:t>
    </w:r>
    <w:r>
      <w:fldChar w:fldCharType="end"/>
    </w:r>
    <w:r>
      <w:rPr>
        <w:lang w:val="en-US"/>
      </w:rPr>
      <w:tab/>
    </w:r>
    <w:r>
      <w:fldChar w:fldCharType="begin"/>
    </w:r>
    <w:r>
      <w:instrText xml:space="preserve"> PRINTDATE \@ DD.MM.YY </w:instrText>
    </w:r>
    <w:r>
      <w:fldChar w:fldCharType="separate"/>
    </w:r>
    <w:r w:rsidR="006C4F85">
      <w:rPr>
        <w:noProof/>
      </w:rPr>
      <w:t>01.10.15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6C4F85">
      <w:rPr>
        <w:lang w:val="en-US"/>
      </w:rPr>
      <w:t>P:\FRA\ITU-R\CONF-R\CMR15\000\028ADD23ADD01ADD06F.docx</w:t>
    </w:r>
    <w:r>
      <w:fldChar w:fldCharType="end"/>
    </w:r>
    <w:r w:rsidR="00DD335C">
      <w:t xml:space="preserve"> (387060)</w:t>
    </w:r>
    <w:r>
      <w:rPr>
        <w:lang w:val="en-US"/>
      </w:rPr>
      <w:tab/>
    </w:r>
    <w:r>
      <w:fldChar w:fldCharType="begin"/>
    </w:r>
    <w:r>
      <w:instrText xml:space="preserve"> SAVEDATE \@ DD.MM.YY </w:instrText>
    </w:r>
    <w:r>
      <w:fldChar w:fldCharType="separate"/>
    </w:r>
    <w:r w:rsidR="006C4F85">
      <w:t>01.10.15</w:t>
    </w:r>
    <w:r>
      <w:fldChar w:fldCharType="end"/>
    </w:r>
    <w:r>
      <w:rPr>
        <w:lang w:val="en-US"/>
      </w:rPr>
      <w:tab/>
    </w:r>
    <w:r>
      <w:fldChar w:fldCharType="begin"/>
    </w:r>
    <w:r>
      <w:instrText xml:space="preserve"> PRINTDATE \@ DD.MM.YY </w:instrText>
    </w:r>
    <w:r>
      <w:fldChar w:fldCharType="separate"/>
    </w:r>
    <w:r w:rsidR="006C4F85">
      <w:t>01.10.15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D335C" w:rsidRDefault="00DD335C" w:rsidP="00DD335C">
    <w:pPr>
      <w:pStyle w:val="Footer"/>
      <w:rPr>
        <w:lang w:val="en-US"/>
      </w:rPr>
    </w:pPr>
    <w:r>
      <w:fldChar w:fldCharType="begin"/>
    </w:r>
    <w:r>
      <w:rPr>
        <w:lang w:val="en-US"/>
      </w:rPr>
      <w:instrText xml:space="preserve"> FILENAME \p  \* MERGEFORMAT </w:instrText>
    </w:r>
    <w:r>
      <w:fldChar w:fldCharType="separate"/>
    </w:r>
    <w:r w:rsidR="006C4F85">
      <w:rPr>
        <w:lang w:val="en-US"/>
      </w:rPr>
      <w:t>P:\FRA\ITU-R\CONF-R\CMR15\000\028ADD23ADD01ADD06F.docx</w:t>
    </w:r>
    <w:r>
      <w:fldChar w:fldCharType="end"/>
    </w:r>
    <w:r>
      <w:t xml:space="preserve"> (387060)</w:t>
    </w:r>
    <w:r>
      <w:rPr>
        <w:lang w:val="en-US"/>
      </w:rPr>
      <w:tab/>
    </w:r>
    <w:r>
      <w:fldChar w:fldCharType="begin"/>
    </w:r>
    <w:r>
      <w:instrText xml:space="preserve"> SAVEDATE \@ DD.MM.YY </w:instrText>
    </w:r>
    <w:r>
      <w:fldChar w:fldCharType="separate"/>
    </w:r>
    <w:r w:rsidR="006C4F85">
      <w:t>01.10.15</w:t>
    </w:r>
    <w:r>
      <w:fldChar w:fldCharType="end"/>
    </w:r>
    <w:r>
      <w:rPr>
        <w:lang w:val="en-US"/>
      </w:rPr>
      <w:tab/>
    </w:r>
    <w:r>
      <w:fldChar w:fldCharType="begin"/>
    </w:r>
    <w:r>
      <w:instrText xml:space="preserve"> PRINTDATE \@ DD.MM.YY </w:instrText>
    </w:r>
    <w:r>
      <w:fldChar w:fldCharType="separate"/>
    </w:r>
    <w:r w:rsidR="006C4F85">
      <w:t>01.10.15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FF4" w:rsidRDefault="00AB3FF4">
      <w:r>
        <w:rPr>
          <w:b/>
        </w:rPr>
        <w:t>_______________</w:t>
      </w:r>
    </w:p>
  </w:footnote>
  <w:footnote w:type="continuationSeparator" w:id="0">
    <w:p w:rsidR="00AB3FF4" w:rsidRDefault="00AB3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6C4F85">
      <w:rPr>
        <w:noProof/>
      </w:rPr>
      <w:t>2</w:t>
    </w:r>
    <w:r>
      <w:fldChar w:fldCharType="end"/>
    </w:r>
  </w:p>
  <w:p w:rsidR="004F1F8E" w:rsidRDefault="004F1F8E" w:rsidP="002C28A4">
    <w:pPr>
      <w:pStyle w:val="Header"/>
    </w:pPr>
    <w:r>
      <w:t>CMR1</w:t>
    </w:r>
    <w:r w:rsidR="002C28A4">
      <w:t>5</w:t>
    </w:r>
    <w:r>
      <w:t>/</w:t>
    </w:r>
    <w:r w:rsidR="006A4B45">
      <w:t>28(Add.23)(Add.1)(Add.6)-</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632DA"/>
    <w:rsid w:val="0018169B"/>
    <w:rsid w:val="0019352B"/>
    <w:rsid w:val="001960D0"/>
    <w:rsid w:val="001F17E8"/>
    <w:rsid w:val="00204306"/>
    <w:rsid w:val="00232FD2"/>
    <w:rsid w:val="0026554E"/>
    <w:rsid w:val="002A4622"/>
    <w:rsid w:val="002A6F8F"/>
    <w:rsid w:val="002B17E5"/>
    <w:rsid w:val="002C0EBF"/>
    <w:rsid w:val="002C28A4"/>
    <w:rsid w:val="00315AFE"/>
    <w:rsid w:val="00351BB3"/>
    <w:rsid w:val="003606A6"/>
    <w:rsid w:val="0036650C"/>
    <w:rsid w:val="00393ACD"/>
    <w:rsid w:val="003A583E"/>
    <w:rsid w:val="003E112B"/>
    <w:rsid w:val="003E1D1C"/>
    <w:rsid w:val="003E7B05"/>
    <w:rsid w:val="00466211"/>
    <w:rsid w:val="004834A9"/>
    <w:rsid w:val="004D01FC"/>
    <w:rsid w:val="004E28C3"/>
    <w:rsid w:val="004F1F8E"/>
    <w:rsid w:val="00512A32"/>
    <w:rsid w:val="00551EEE"/>
    <w:rsid w:val="00586CF2"/>
    <w:rsid w:val="005C3768"/>
    <w:rsid w:val="005C6C3F"/>
    <w:rsid w:val="00613635"/>
    <w:rsid w:val="0062093D"/>
    <w:rsid w:val="00637ECF"/>
    <w:rsid w:val="00647B59"/>
    <w:rsid w:val="00690C7B"/>
    <w:rsid w:val="006A4B45"/>
    <w:rsid w:val="006C4F85"/>
    <w:rsid w:val="006D4724"/>
    <w:rsid w:val="00701BAE"/>
    <w:rsid w:val="00721F04"/>
    <w:rsid w:val="00730E95"/>
    <w:rsid w:val="007426B9"/>
    <w:rsid w:val="00755BA0"/>
    <w:rsid w:val="00764342"/>
    <w:rsid w:val="00774362"/>
    <w:rsid w:val="00786598"/>
    <w:rsid w:val="007A04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10EF3"/>
    <w:rsid w:val="00A37105"/>
    <w:rsid w:val="00A443BF"/>
    <w:rsid w:val="00A606C3"/>
    <w:rsid w:val="00A83B09"/>
    <w:rsid w:val="00A84541"/>
    <w:rsid w:val="00AB3FF4"/>
    <w:rsid w:val="00AE36A0"/>
    <w:rsid w:val="00B00294"/>
    <w:rsid w:val="00B168B3"/>
    <w:rsid w:val="00B64FD0"/>
    <w:rsid w:val="00BA5BD0"/>
    <w:rsid w:val="00BB1D82"/>
    <w:rsid w:val="00BF26E7"/>
    <w:rsid w:val="00C53FCA"/>
    <w:rsid w:val="00C543E1"/>
    <w:rsid w:val="00C76BAF"/>
    <w:rsid w:val="00C814B9"/>
    <w:rsid w:val="00CD516F"/>
    <w:rsid w:val="00D065C7"/>
    <w:rsid w:val="00D119A7"/>
    <w:rsid w:val="00D25FBA"/>
    <w:rsid w:val="00D32B28"/>
    <w:rsid w:val="00D42954"/>
    <w:rsid w:val="00D66EAC"/>
    <w:rsid w:val="00D730DF"/>
    <w:rsid w:val="00D772F0"/>
    <w:rsid w:val="00D77BDC"/>
    <w:rsid w:val="00DC402B"/>
    <w:rsid w:val="00DD335C"/>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D2249"/>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45AF42E-F50A-485D-A7A3-88837AB2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R15-WRC15-C-0028!A23-A1-A6!MSW-F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B95B2-D960-4F6B-9617-73E9DE38EB39}">
  <ds:schemaRefs>
    <ds:schemaRef ds:uri="http://purl.org/dc/dcmitype/"/>
    <ds:schemaRef ds:uri="http://schemas.microsoft.com/office/2006/metadata/properties"/>
    <ds:schemaRef ds:uri="996b2e75-67fd-4955-a3b0-5ab9934cb50b"/>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32a1a8c5-2265-4ebc-b7a0-2071e2c5c9bb"/>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5.xml><?xml version="1.0" encoding="utf-8"?>
<ds:datastoreItem xmlns:ds="http://schemas.openxmlformats.org/officeDocument/2006/customXml" ds:itemID="{A6867798-717C-4218-B90D-4DDA0C7C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1724</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R15-WRC15-C-0028!A23-A1-A6!MSW-F</vt:lpstr>
    </vt:vector>
  </TitlesOfParts>
  <Manager>Secrétariat général - Pool</Manager>
  <Company>Union internationale des télécommunications (UIT)</Company>
  <LinksUpToDate>false</LinksUpToDate>
  <CharactersWithSpaces>1999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R15-WRC15-C-0028!A23-A1-A6!MSW-F</dc:title>
  <dc:subject>Conférence mondiale des radiocommunications - 2015</dc:subject>
  <dc:creator>Documents Proposals Manager (DPM)</dc:creator>
  <cp:keywords>DPM_v5.2015.9.16_prod</cp:keywords>
  <dc:description/>
  <cp:lastModifiedBy>Jones, Jacqueline</cp:lastModifiedBy>
  <cp:revision>8</cp:revision>
  <cp:lastPrinted>2015-10-01T14:11:00Z</cp:lastPrinted>
  <dcterms:created xsi:type="dcterms:W3CDTF">2015-09-29T06:28:00Z</dcterms:created>
  <dcterms:modified xsi:type="dcterms:W3CDTF">2015-10-01T14:12:00Z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