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096"/>
        <w:gridCol w:w="3935"/>
      </w:tblGrid>
      <w:tr w:rsidR="00A066F1" w:rsidTr="00F8485B">
        <w:trPr>
          <w:cantSplit/>
        </w:trPr>
        <w:tc>
          <w:tcPr>
            <w:tcW w:w="6096" w:type="dxa"/>
          </w:tcPr>
          <w:p w:rsidR="00A066F1" w:rsidRPr="00DF23FC" w:rsidRDefault="00F8485B" w:rsidP="003B2284">
            <w:pPr>
              <w:spacing w:before="400" w:after="48" w:line="240" w:lineRule="atLeast"/>
              <w:rPr>
                <w:rFonts w:ascii="Verdana" w:hAnsi="Verdana"/>
                <w:position w:val="6"/>
              </w:rPr>
            </w:pPr>
            <w:r>
              <w:rPr>
                <w:rFonts w:ascii="Verdana" w:hAnsi="Verdana" w:cs="Times"/>
                <w:b/>
                <w:position w:val="6"/>
                <w:sz w:val="22"/>
                <w:szCs w:val="22"/>
                <w:lang w:val="en-US"/>
              </w:rPr>
              <w:br/>
            </w:r>
            <w:r w:rsidR="00241FA2" w:rsidRPr="00F7284A">
              <w:rPr>
                <w:rFonts w:ascii="Verdana" w:hAnsi="Verdana" w:cs="Times"/>
                <w:b/>
                <w:position w:val="6"/>
                <w:sz w:val="22"/>
                <w:szCs w:val="22"/>
                <w:lang w:val="en-US"/>
              </w:rPr>
              <w:t>World Radiocommunication Conference (WRC-</w:t>
            </w:r>
            <w:r w:rsidR="00241FA2" w:rsidRPr="00CF33A5">
              <w:rPr>
                <w:rFonts w:ascii="Verdana" w:hAnsi="Verdana" w:cs="Times"/>
                <w:b/>
                <w:position w:val="6"/>
                <w:sz w:val="22"/>
                <w:szCs w:val="22"/>
                <w:lang w:val="en-US"/>
              </w:rPr>
              <w:t>1</w:t>
            </w:r>
            <w:r w:rsidR="00241FA2">
              <w:rPr>
                <w:rFonts w:ascii="Verdana" w:hAnsi="Verdana" w:cs="Times"/>
                <w:b/>
                <w:position w:val="6"/>
                <w:sz w:val="22"/>
                <w:szCs w:val="22"/>
                <w:lang w:val="en-US"/>
              </w:rPr>
              <w:t>5</w:t>
            </w:r>
            <w:r w:rsidR="00241FA2" w:rsidRPr="00CF33A5">
              <w:rPr>
                <w:rFonts w:ascii="Verdana" w:hAnsi="Verdana" w:cs="Times"/>
                <w:b/>
                <w:position w:val="6"/>
                <w:sz w:val="22"/>
                <w:szCs w:val="22"/>
                <w:lang w:val="en-US"/>
              </w:rPr>
              <w:t>)</w:t>
            </w:r>
            <w:r w:rsidR="00241FA2" w:rsidRPr="00CF33A5">
              <w:rPr>
                <w:rFonts w:ascii="Verdana" w:hAnsi="Verdana" w:cs="Times"/>
                <w:b/>
                <w:position w:val="6"/>
                <w:sz w:val="26"/>
                <w:szCs w:val="26"/>
                <w:lang w:val="en-US"/>
              </w:rPr>
              <w:br/>
            </w:r>
            <w:r w:rsidR="00241FA2" w:rsidRPr="00CF33A5">
              <w:rPr>
                <w:rFonts w:ascii="Verdana" w:hAnsi="Verdana"/>
                <w:b/>
                <w:bCs/>
                <w:position w:val="6"/>
                <w:sz w:val="18"/>
                <w:szCs w:val="18"/>
                <w:lang w:val="en-US"/>
              </w:rPr>
              <w:t xml:space="preserve">Geneva, </w:t>
            </w:r>
            <w:r w:rsidR="00241FA2">
              <w:rPr>
                <w:rFonts w:ascii="Verdana" w:hAnsi="Verdana"/>
                <w:b/>
                <w:bCs/>
                <w:position w:val="6"/>
                <w:sz w:val="18"/>
                <w:szCs w:val="18"/>
                <w:lang w:val="en-US"/>
              </w:rPr>
              <w:t>2</w:t>
            </w:r>
            <w:r w:rsidR="00241FA2" w:rsidRPr="00CF33A5">
              <w:rPr>
                <w:rFonts w:ascii="Verdana" w:hAnsi="Verdana"/>
                <w:b/>
                <w:bCs/>
                <w:position w:val="6"/>
                <w:sz w:val="18"/>
                <w:szCs w:val="18"/>
                <w:lang w:val="en-US"/>
              </w:rPr>
              <w:t>–</w:t>
            </w:r>
            <w:r w:rsidR="00241FA2">
              <w:rPr>
                <w:rFonts w:ascii="Verdana" w:hAnsi="Verdana"/>
                <w:b/>
                <w:bCs/>
                <w:position w:val="6"/>
                <w:sz w:val="18"/>
                <w:szCs w:val="18"/>
                <w:lang w:val="en-US"/>
              </w:rPr>
              <w:t>27</w:t>
            </w:r>
            <w:r w:rsidR="00241FA2" w:rsidRPr="00CF33A5">
              <w:rPr>
                <w:rFonts w:ascii="Verdana" w:hAnsi="Verdana"/>
                <w:b/>
                <w:bCs/>
                <w:position w:val="6"/>
                <w:sz w:val="18"/>
                <w:szCs w:val="18"/>
                <w:lang w:val="en-US"/>
              </w:rPr>
              <w:t xml:space="preserve"> </w:t>
            </w:r>
            <w:r w:rsidR="00241FA2">
              <w:rPr>
                <w:rFonts w:ascii="Verdana" w:hAnsi="Verdana"/>
                <w:b/>
                <w:bCs/>
                <w:position w:val="6"/>
                <w:sz w:val="18"/>
                <w:szCs w:val="18"/>
                <w:lang w:val="en-US"/>
              </w:rPr>
              <w:t>November</w:t>
            </w:r>
            <w:r w:rsidR="00241FA2" w:rsidRPr="00CF33A5">
              <w:rPr>
                <w:rFonts w:ascii="Verdana" w:hAnsi="Verdana"/>
                <w:b/>
                <w:bCs/>
                <w:position w:val="6"/>
                <w:sz w:val="18"/>
                <w:szCs w:val="18"/>
                <w:lang w:val="en-US"/>
              </w:rPr>
              <w:t xml:space="preserve"> 201</w:t>
            </w:r>
            <w:r w:rsidR="00241FA2">
              <w:rPr>
                <w:rFonts w:ascii="Verdana" w:hAnsi="Verdana"/>
                <w:b/>
                <w:bCs/>
                <w:position w:val="6"/>
                <w:sz w:val="18"/>
                <w:szCs w:val="18"/>
                <w:lang w:val="en-US"/>
              </w:rPr>
              <w:t>5</w:t>
            </w:r>
          </w:p>
        </w:tc>
        <w:tc>
          <w:tcPr>
            <w:tcW w:w="3935"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rsidTr="00F8485B">
        <w:trPr>
          <w:cantSplit/>
        </w:trPr>
        <w:tc>
          <w:tcPr>
            <w:tcW w:w="6096"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935"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rsidTr="00F8485B">
        <w:trPr>
          <w:cantSplit/>
        </w:trPr>
        <w:tc>
          <w:tcPr>
            <w:tcW w:w="6096"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935"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rsidTr="00F8485B">
        <w:trPr>
          <w:cantSplit/>
          <w:trHeight w:val="23"/>
        </w:trPr>
        <w:tc>
          <w:tcPr>
            <w:tcW w:w="6096"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935"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5 to</w:t>
            </w:r>
            <w:r>
              <w:rPr>
                <w:rFonts w:ascii="Verdana" w:eastAsia="SimSun" w:hAnsi="Verdana" w:cs="Traditional Arabic"/>
                <w:b/>
                <w:sz w:val="20"/>
              </w:rPr>
              <w:br/>
              <w:t>Document 28(Add.23)(Add.1)</w:t>
            </w:r>
            <w:r w:rsidR="00A066F1" w:rsidRPr="00841216">
              <w:rPr>
                <w:rFonts w:ascii="Verdana" w:hAnsi="Verdana"/>
                <w:b/>
                <w:sz w:val="20"/>
              </w:rPr>
              <w:t>-</w:t>
            </w:r>
            <w:r w:rsidR="005E10C9" w:rsidRPr="00841216">
              <w:rPr>
                <w:rFonts w:ascii="Verdana" w:hAnsi="Verdana"/>
                <w:b/>
                <w:sz w:val="20"/>
              </w:rPr>
              <w:t>E</w:t>
            </w:r>
          </w:p>
        </w:tc>
      </w:tr>
      <w:tr w:rsidR="00A066F1" w:rsidRPr="00C324A8" w:rsidTr="00F8485B">
        <w:trPr>
          <w:cantSplit/>
          <w:trHeight w:val="23"/>
        </w:trPr>
        <w:tc>
          <w:tcPr>
            <w:tcW w:w="6096"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935"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rsidTr="00F8485B">
        <w:trPr>
          <w:cantSplit/>
          <w:trHeight w:val="23"/>
        </w:trPr>
        <w:tc>
          <w:tcPr>
            <w:tcW w:w="6096"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935"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9.1(9.1.5)</w:t>
            </w:r>
          </w:p>
        </w:tc>
      </w:tr>
    </w:tbl>
    <w:bookmarkEnd w:id="6"/>
    <w:bookmarkEnd w:id="7"/>
    <w:p w:rsidR="00B02325" w:rsidRPr="000002F2" w:rsidRDefault="002F1D12" w:rsidP="005A1B64">
      <w:pPr>
        <w:overflowPunct/>
        <w:autoSpaceDE/>
        <w:autoSpaceDN/>
        <w:adjustRightInd/>
        <w:textAlignment w:val="auto"/>
      </w:pPr>
      <w:r w:rsidRPr="009A2B70">
        <w:t>9</w:t>
      </w:r>
      <w:r w:rsidRPr="009A2B70">
        <w:tab/>
        <w:t>to consider and approve the Report of the Director of the Radiocommunication Bureau, in accordance with Article 7 of the Convention:</w:t>
      </w:r>
    </w:p>
    <w:p w:rsidR="00B02325" w:rsidRPr="000002F2" w:rsidRDefault="002F1D12" w:rsidP="002F1D12">
      <w:r w:rsidRPr="009A2B70">
        <w:t>9.1</w:t>
      </w:r>
      <w:r w:rsidRPr="009A2B70">
        <w:tab/>
        <w:t xml:space="preserve">on the activities of the </w:t>
      </w:r>
      <w:r w:rsidRPr="002F1D12">
        <w:t>Radiocommunication</w:t>
      </w:r>
      <w:r w:rsidRPr="009A2B70">
        <w:t xml:space="preserve"> Sector since WRC</w:t>
      </w:r>
      <w:r w:rsidRPr="009A2B70">
        <w:noBreakHyphen/>
        <w:t>12;</w:t>
      </w:r>
    </w:p>
    <w:p w:rsidR="001C0E40" w:rsidRDefault="002F1D12" w:rsidP="00C57BE9">
      <w:r>
        <w:t xml:space="preserve">9.1(9.1.5) </w:t>
      </w:r>
      <w:r>
        <w:tab/>
        <w:t xml:space="preserve">Resolution </w:t>
      </w:r>
      <w:r w:rsidRPr="002A432D">
        <w:rPr>
          <w:b/>
          <w:bCs/>
        </w:rPr>
        <w:t>154 (Rev.WRC-12)</w:t>
      </w:r>
      <w:r>
        <w:t xml:space="preserve"> − Consideration of technical and regulatory actions in order to support existing and future operation of fixed satellite service earth stations within the band 3 400-4 200 MHz, as an aid to the safe operation of aircraft and reliable distribution of meteorological information in some countries in Region 1</w:t>
      </w:r>
    </w:p>
    <w:p w:rsidR="00241FA2" w:rsidRPr="002F1D12" w:rsidRDefault="00241FA2" w:rsidP="002F1D12"/>
    <w:p w:rsidR="00187BD9" w:rsidRPr="002F1D12" w:rsidRDefault="00187BD9" w:rsidP="00187BD9">
      <w:pPr>
        <w:tabs>
          <w:tab w:val="clear" w:pos="1134"/>
          <w:tab w:val="clear" w:pos="1871"/>
          <w:tab w:val="clear" w:pos="2268"/>
        </w:tabs>
        <w:overflowPunct/>
        <w:autoSpaceDE/>
        <w:autoSpaceDN/>
        <w:adjustRightInd/>
        <w:spacing w:before="0"/>
        <w:textAlignment w:val="auto"/>
      </w:pPr>
      <w:r w:rsidRPr="002F1D12">
        <w:br w:type="page"/>
      </w:r>
    </w:p>
    <w:p w:rsidR="00DC4070" w:rsidRDefault="002F1D12">
      <w:pPr>
        <w:pStyle w:val="Proposal"/>
      </w:pPr>
      <w:r>
        <w:lastRenderedPageBreak/>
        <w:t>MOD</w:t>
      </w:r>
      <w:r>
        <w:tab/>
        <w:t>AFCP/28A23A1A5/1</w:t>
      </w:r>
    </w:p>
    <w:p w:rsidR="002F1D12" w:rsidRPr="00D36D7F" w:rsidRDefault="002F1D12" w:rsidP="002F1D12">
      <w:pPr>
        <w:pStyle w:val="ResNo"/>
      </w:pPr>
      <w:r w:rsidRPr="00D36D7F">
        <w:t xml:space="preserve">RESOLUTION </w:t>
      </w:r>
      <w:r w:rsidRPr="00D36D7F">
        <w:rPr>
          <w:rStyle w:val="href"/>
        </w:rPr>
        <w:t>154</w:t>
      </w:r>
      <w:r w:rsidRPr="00D36D7F">
        <w:t xml:space="preserve"> (</w:t>
      </w:r>
      <w:ins w:id="8" w:author="Tsarapkina, Yulia" w:date="2015-09-28T10:36:00Z">
        <w:r>
          <w:t>rev.</w:t>
        </w:r>
      </w:ins>
      <w:r w:rsidRPr="00D36D7F">
        <w:t>WRC</w:t>
      </w:r>
      <w:r w:rsidRPr="00D36D7F">
        <w:noBreakHyphen/>
      </w:r>
      <w:del w:id="9" w:author="Tsarapkina, Yulia" w:date="2015-09-28T10:36:00Z">
        <w:r w:rsidRPr="00D36D7F" w:rsidDel="00D36D7F">
          <w:delText>12</w:delText>
        </w:r>
      </w:del>
      <w:ins w:id="10" w:author="Tsarapkina, Yulia" w:date="2015-09-28T10:36:00Z">
        <w:r>
          <w:t>15</w:t>
        </w:r>
      </w:ins>
      <w:r w:rsidRPr="00D36D7F">
        <w:t>)</w:t>
      </w:r>
    </w:p>
    <w:p w:rsidR="002F1D12" w:rsidRPr="00D36D7F" w:rsidRDefault="002F1D12" w:rsidP="002F1D12">
      <w:pPr>
        <w:pStyle w:val="Restitle"/>
      </w:pPr>
      <w:bookmarkStart w:id="11" w:name="_Toc327364378"/>
      <w:r w:rsidRPr="00D36D7F">
        <w:t xml:space="preserve">Consideration of technical and regulatory actions in order to support existing </w:t>
      </w:r>
      <w:r w:rsidRPr="00D36D7F">
        <w:br/>
        <w:t>and future operation of fixed-satellite service earth stations within the</w:t>
      </w:r>
      <w:r w:rsidRPr="00D36D7F">
        <w:br/>
        <w:t>band 3 400-4 2</w:t>
      </w:r>
      <w:bookmarkStart w:id="12" w:name="_GoBack"/>
      <w:bookmarkEnd w:id="12"/>
      <w:r w:rsidRPr="00D36D7F">
        <w:t xml:space="preserve">00 MHz, as an aid to the safe operation of aircraft </w:t>
      </w:r>
      <w:r w:rsidRPr="00D36D7F">
        <w:br/>
        <w:t xml:space="preserve">and reliable distribution of meteorological information </w:t>
      </w:r>
      <w:r w:rsidRPr="00D36D7F">
        <w:br/>
        <w:t>in some countries in Region 1</w:t>
      </w:r>
      <w:bookmarkEnd w:id="11"/>
    </w:p>
    <w:p w:rsidR="002F1D12" w:rsidRPr="00D36D7F" w:rsidRDefault="002F1D12" w:rsidP="002F1D12">
      <w:pPr>
        <w:pStyle w:val="Normalaftertitle"/>
      </w:pPr>
      <w:r w:rsidRPr="00D36D7F">
        <w:t xml:space="preserve">The World Radiocommunication Conference (Geneva, </w:t>
      </w:r>
      <w:del w:id="13" w:author="Tsarapkina, Yulia" w:date="2015-09-28T10:36:00Z">
        <w:r w:rsidRPr="00D36D7F" w:rsidDel="00D36D7F">
          <w:delText>2012</w:delText>
        </w:r>
      </w:del>
      <w:ins w:id="14" w:author="Tsarapkina, Yulia" w:date="2015-09-28T10:36:00Z">
        <w:r>
          <w:t>2015</w:t>
        </w:r>
      </w:ins>
      <w:r w:rsidRPr="00D36D7F">
        <w:t>),</w:t>
      </w:r>
    </w:p>
    <w:p w:rsidR="002F1D12" w:rsidRPr="00D36D7F" w:rsidRDefault="002F1D12" w:rsidP="002F1D12">
      <w:pPr>
        <w:pStyle w:val="Call"/>
      </w:pPr>
      <w:r w:rsidRPr="00D36D7F">
        <w:t>considering</w:t>
      </w:r>
    </w:p>
    <w:p w:rsidR="002F1D12" w:rsidRPr="00237B12" w:rsidRDefault="002F1D12" w:rsidP="002F1D12">
      <w:pPr>
        <w:rPr>
          <w:ins w:id="15" w:author="Gimenez, Christine" w:date="2015-09-24T10:59:00Z"/>
        </w:rPr>
      </w:pPr>
      <w:ins w:id="16" w:author="Gimenez, Christine" w:date="2015-09-24T10:59:00Z">
        <w:r w:rsidRPr="00D36D7F">
          <w:rPr>
            <w:i/>
            <w:iCs/>
          </w:rPr>
          <w:t>a)</w:t>
        </w:r>
        <w:r w:rsidRPr="00237B12">
          <w:tab/>
          <w:t xml:space="preserve">that the band 3 400-4 200 MHz is allocated worldwide to the fixed-satellite service (FSS) </w:t>
        </w:r>
        <w:r w:rsidRPr="00D36D7F">
          <w:t xml:space="preserve">in the space-to-Earth direction </w:t>
        </w:r>
        <w:r w:rsidRPr="00237B12">
          <w:t>and to the fixed service on a primary basis;</w:t>
        </w:r>
      </w:ins>
    </w:p>
    <w:p w:rsidR="002F1D12" w:rsidRPr="00237B12" w:rsidRDefault="002F1D12" w:rsidP="002F1D12">
      <w:pPr>
        <w:rPr>
          <w:ins w:id="17" w:author="Gimenez, Christine" w:date="2015-09-24T10:59:00Z"/>
        </w:rPr>
      </w:pPr>
      <w:ins w:id="18" w:author="Gimenez, Christine" w:date="2015-09-24T10:59:00Z">
        <w:r w:rsidRPr="00237B12">
          <w:rPr>
            <w:i/>
          </w:rPr>
          <w:t>b)</w:t>
        </w:r>
        <w:r w:rsidRPr="00237B12">
          <w:tab/>
          <w:t>that the band 3 400-3 600 MHz is allocated on a primary basis to the mobile, except aeronautical mobile, service in the countries in Region 1 specified in No. </w:t>
        </w:r>
        <w:r w:rsidRPr="00237B12">
          <w:rPr>
            <w:b/>
            <w:bCs/>
            <w:lang w:eastAsia="zh-CN"/>
          </w:rPr>
          <w:t>5.430A</w:t>
        </w:r>
        <w:r w:rsidRPr="00237B12">
          <w:t xml:space="preserve"> and identified for International Mobile Telecommunications (IMT) in those countries;</w:t>
        </w:r>
      </w:ins>
    </w:p>
    <w:p w:rsidR="002F1D12" w:rsidRPr="00237B12" w:rsidRDefault="002F1D12" w:rsidP="002F1D12">
      <w:pPr>
        <w:rPr>
          <w:ins w:id="19" w:author="Gimenez, Christine" w:date="2015-09-24T10:59:00Z"/>
          <w:lang w:eastAsia="zh-CN"/>
        </w:rPr>
      </w:pPr>
      <w:ins w:id="20" w:author="Gimenez, Christine" w:date="2015-09-24T10:59:00Z">
        <w:r w:rsidRPr="00237B12">
          <w:rPr>
            <w:i/>
          </w:rPr>
          <w:t>c)</w:t>
        </w:r>
        <w:r w:rsidRPr="00237B12">
          <w:tab/>
          <w:t xml:space="preserve">that in Region 1 the allocation to the mobile, except aeronautical mobile, service in the band 3 400-3 600 MHz is subject to the technical and regulatory conditions listed in </w:t>
        </w:r>
        <w:r w:rsidRPr="00237B12">
          <w:rPr>
            <w:lang w:eastAsia="zh-CN"/>
          </w:rPr>
          <w:t>No. </w:t>
        </w:r>
        <w:r w:rsidRPr="00237B12">
          <w:rPr>
            <w:b/>
            <w:bCs/>
            <w:lang w:eastAsia="zh-CN"/>
          </w:rPr>
          <w:t>5.430A</w:t>
        </w:r>
        <w:r w:rsidRPr="00237B12">
          <w:rPr>
            <w:lang w:eastAsia="zh-CN"/>
          </w:rPr>
          <w:t>, aimed at ensuring compatibility with co-primary services of neighbouring countries;</w:t>
        </w:r>
      </w:ins>
    </w:p>
    <w:p w:rsidR="002F1D12" w:rsidRPr="00237B12" w:rsidRDefault="002F1D12">
      <w:pPr>
        <w:rPr>
          <w:ins w:id="21" w:author="Gimenez, Christine" w:date="2015-09-24T10:59:00Z"/>
        </w:rPr>
        <w:pPrChange w:id="22" w:author="Capretti, Alessandro" w:date="2014-06-19T10:40:00Z">
          <w:pPr>
            <w:pStyle w:val="Call"/>
          </w:pPr>
        </w:pPrChange>
      </w:pPr>
      <w:ins w:id="23" w:author="Gimenez, Christine" w:date="2015-09-24T10:59:00Z">
        <w:r w:rsidRPr="00237B12">
          <w:rPr>
            <w:i/>
          </w:rPr>
          <w:t>d)</w:t>
        </w:r>
        <w:r w:rsidRPr="00237B12">
          <w:tab/>
          <w:t>that a number of developing countries</w:t>
        </w:r>
        <w:r w:rsidRPr="00237B12">
          <w:rPr>
            <w:iCs/>
          </w:rPr>
          <w:t xml:space="preserve"> rely, to a great extent, on FSS </w:t>
        </w:r>
        <w:r w:rsidRPr="00237B12">
          <w:rPr>
            <w:rFonts w:eastAsia="MS Mincho"/>
            <w:lang w:eastAsia="zh-CN"/>
          </w:rPr>
          <w:t>systems using very small aperture terminals</w:t>
        </w:r>
        <w:r w:rsidRPr="00237B12">
          <w:rPr>
            <w:iCs/>
          </w:rPr>
          <w:t xml:space="preserve"> (VSAT) in the </w:t>
        </w:r>
        <w:r w:rsidRPr="00237B12">
          <w:t xml:space="preserve">band 3 400-4 200 MHz </w:t>
        </w:r>
        <w:r w:rsidRPr="00237B12">
          <w:rPr>
            <w:iCs/>
          </w:rPr>
          <w:t xml:space="preserve">for provision of </w:t>
        </w:r>
        <w:r w:rsidRPr="00237B12">
          <w:t>communications as an aid to safe operation of aircraft and reliable distribution of meteorological information;</w:t>
        </w:r>
      </w:ins>
    </w:p>
    <w:p w:rsidR="002F1D12" w:rsidRPr="006905BC" w:rsidDel="00F1426D" w:rsidRDefault="002F1D12" w:rsidP="002F1D12">
      <w:pPr>
        <w:rPr>
          <w:del w:id="24" w:author="Gimenez, Christine" w:date="2015-09-24T11:00:00Z"/>
        </w:rPr>
      </w:pPr>
      <w:del w:id="25" w:author="Gimenez, Christine" w:date="2015-09-24T10:59:00Z">
        <w:r w:rsidRPr="006905BC" w:rsidDel="00F1426D">
          <w:rPr>
            <w:i/>
          </w:rPr>
          <w:delText>a</w:delText>
        </w:r>
      </w:del>
      <w:ins w:id="26" w:author="Gimenez, Christine" w:date="2015-09-24T10:59:00Z">
        <w:r>
          <w:rPr>
            <w:i/>
          </w:rPr>
          <w:t>e</w:t>
        </w:r>
      </w:ins>
      <w:r w:rsidRPr="006905BC">
        <w:rPr>
          <w:i/>
        </w:rPr>
        <w:t>)</w:t>
      </w:r>
      <w:r w:rsidRPr="006905BC">
        <w:tab/>
        <w:t>that</w:t>
      </w:r>
      <w:ins w:id="27" w:author="Gimenez, Christine" w:date="2015-09-24T10:59:00Z">
        <w:r>
          <w:t>, in some cases</w:t>
        </w:r>
      </w:ins>
      <w:r w:rsidRPr="006905BC">
        <w:t xml:space="preserve"> </w:t>
      </w:r>
      <w:del w:id="28" w:author="Gimenez, Christine" w:date="2015-09-24T11:00:00Z">
        <w:r w:rsidRPr="006905BC" w:rsidDel="00F1426D">
          <w:delText xml:space="preserve">remote and rural areas often still lack a terrestrial communication infrastructure that meets the evolving requirements of modern civil aviation; </w:delText>
        </w:r>
      </w:del>
    </w:p>
    <w:p w:rsidR="002F1D12" w:rsidRPr="006905BC" w:rsidDel="00F1426D" w:rsidRDefault="002F1D12" w:rsidP="002F1D12">
      <w:pPr>
        <w:rPr>
          <w:del w:id="29" w:author="Gimenez, Christine" w:date="2015-09-24T11:00:00Z"/>
        </w:rPr>
      </w:pPr>
      <w:del w:id="30" w:author="Gimenez, Christine" w:date="2015-09-24T11:00:00Z">
        <w:r w:rsidRPr="006905BC" w:rsidDel="00F1426D">
          <w:rPr>
            <w:i/>
          </w:rPr>
          <w:delText>b)</w:delText>
        </w:r>
        <w:r w:rsidRPr="006905BC" w:rsidDel="00F1426D">
          <w:tab/>
          <w:delText xml:space="preserve">that the cost of providing and maintaining such an infrastructure could be expensive, particularly in remote regions; </w:delText>
        </w:r>
      </w:del>
    </w:p>
    <w:p w:rsidR="002F1D12" w:rsidRPr="006905BC" w:rsidRDefault="002F1D12" w:rsidP="002F1D12">
      <w:del w:id="31" w:author="Gimenez, Christine" w:date="2015-09-24T11:00:00Z">
        <w:r w:rsidRPr="006905BC" w:rsidDel="00F1426D">
          <w:rPr>
            <w:i/>
          </w:rPr>
          <w:delText>c)</w:delText>
        </w:r>
        <w:r w:rsidRPr="006905BC" w:rsidDel="00F1426D">
          <w:tab/>
        </w:r>
      </w:del>
      <w:r w:rsidRPr="006905BC">
        <w:t xml:space="preserve">where an adequate terrestrial communication infrastructure is not available, </w:t>
      </w:r>
      <w:del w:id="32" w:author="Gimenez, Christine" w:date="2015-09-24T11:00:00Z">
        <w:r w:rsidRPr="006905BC" w:rsidDel="00F1426D">
          <w:delText xml:space="preserve">fixed-satellite service (FSS) earth stations </w:delText>
        </w:r>
      </w:del>
      <w:ins w:id="33" w:author="Gimenez, Christine" w:date="2015-09-24T11:00:00Z">
        <w:r w:rsidRPr="00237B12">
          <w:t xml:space="preserve">VSAT networks referred to in </w:t>
        </w:r>
        <w:r w:rsidRPr="00237B12">
          <w:rPr>
            <w:i/>
            <w:iCs/>
          </w:rPr>
          <w:t>considering</w:t>
        </w:r>
        <w:r w:rsidRPr="00237B12">
          <w:t> </w:t>
        </w:r>
        <w:r w:rsidRPr="00237B12">
          <w:rPr>
            <w:i/>
            <w:iCs/>
          </w:rPr>
          <w:t>d)</w:t>
        </w:r>
        <w:r w:rsidRPr="00237B12">
          <w:t xml:space="preserve"> above </w:t>
        </w:r>
      </w:ins>
      <w:r w:rsidRPr="006905BC">
        <w:t>are the only viable option to augment the communication infrastructure in order to satisfy the overall communications infrastructure requirements of the International Civil Aviation Organization (ICAO) and to ensure distribution of meteorological information under the auspices of the World Meteorological Organization (WMO);</w:t>
      </w:r>
    </w:p>
    <w:p w:rsidR="002F1D12" w:rsidRPr="00237B12" w:rsidRDefault="002F1D12" w:rsidP="002F1D12">
      <w:pPr>
        <w:rPr>
          <w:ins w:id="34" w:author="Gimenez, Christine" w:date="2015-09-24T11:01:00Z"/>
          <w:lang w:eastAsia="zh-CN"/>
        </w:rPr>
      </w:pPr>
      <w:ins w:id="35" w:author="Gimenez, Christine" w:date="2015-09-24T11:01:00Z">
        <w:r w:rsidRPr="00237B12">
          <w:rPr>
            <w:i/>
            <w:iCs/>
            <w:lang w:eastAsia="zh-CN"/>
          </w:rPr>
          <w:t>f</w:t>
        </w:r>
        <w:r w:rsidRPr="00237B12">
          <w:rPr>
            <w:i/>
            <w:iCs/>
            <w:lang w:eastAsia="zh-CN"/>
            <w:rPrChange w:id="36" w:author="Capretti, Alessandro" w:date="2014-06-19T09:47:00Z">
              <w:rPr>
                <w:lang w:eastAsia="zh-CN"/>
              </w:rPr>
            </w:rPrChange>
          </w:rPr>
          <w:t>)</w:t>
        </w:r>
        <w:r w:rsidRPr="00237B12">
          <w:rPr>
            <w:lang w:eastAsia="zh-CN"/>
          </w:rPr>
          <w:tab/>
          <w:t>that the relevant ITU</w:t>
        </w:r>
        <w:r w:rsidRPr="00237B12">
          <w:rPr>
            <w:lang w:eastAsia="zh-CN"/>
          </w:rPr>
          <w:noBreakHyphen/>
          <w:t>R studies showed</w:t>
        </w:r>
        <w:r w:rsidRPr="00237B12">
          <w:rPr>
            <w:b/>
          </w:rPr>
          <w:t xml:space="preserve"> </w:t>
        </w:r>
        <w:r w:rsidRPr="00237B12">
          <w:t xml:space="preserve">a potential for interference from fixed wireless access and IMT stations </w:t>
        </w:r>
        <w:r w:rsidRPr="00D36D7F">
          <w:t>into</w:t>
        </w:r>
        <w:r w:rsidRPr="00237B12">
          <w:t xml:space="preserve"> FSS </w:t>
        </w:r>
        <w:r w:rsidRPr="00237B12">
          <w:rPr>
            <w:lang w:eastAsia="zh-CN"/>
          </w:rPr>
          <w:t>receiving</w:t>
        </w:r>
        <w:r w:rsidRPr="00237B12">
          <w:t xml:space="preserve"> earth stations at distances from </w:t>
        </w:r>
        <w:r w:rsidRPr="00237B12">
          <w:rPr>
            <w:lang w:eastAsia="zh-CN"/>
          </w:rPr>
          <w:t>less than one kilometre</w:t>
        </w:r>
        <w:r w:rsidRPr="00237B12">
          <w:t xml:space="preserve"> up to hundreds</w:t>
        </w:r>
        <w:r w:rsidRPr="00237B12">
          <w:rPr>
            <w:lang w:eastAsia="zh-CN"/>
          </w:rPr>
          <w:t xml:space="preserve"> of kilometres, depending on the parameters and deployment of stations of these services;</w:t>
        </w:r>
      </w:ins>
    </w:p>
    <w:p w:rsidR="002F1D12" w:rsidRPr="00237B12" w:rsidRDefault="002F1D12" w:rsidP="002F1D12">
      <w:pPr>
        <w:rPr>
          <w:ins w:id="37" w:author="Gimenez, Christine" w:date="2015-09-24T11:01:00Z"/>
        </w:rPr>
      </w:pPr>
      <w:ins w:id="38" w:author="Gimenez, Christine" w:date="2015-09-24T11:01:00Z">
        <w:r w:rsidRPr="00237B12">
          <w:rPr>
            <w:i/>
            <w:iCs/>
          </w:rPr>
          <w:t>g)</w:t>
        </w:r>
        <w:r w:rsidRPr="00237B12">
          <w:rPr>
            <w:i/>
            <w:iCs/>
          </w:rPr>
          <w:tab/>
        </w:r>
        <w:r w:rsidRPr="00237B12">
          <w:t>that WRC</w:t>
        </w:r>
        <w:r w:rsidRPr="00237B12">
          <w:rPr>
            <w:lang w:eastAsia="zh-CN"/>
          </w:rPr>
          <w:noBreakHyphen/>
        </w:r>
        <w:r w:rsidRPr="00237B12">
          <w:t xml:space="preserve">12, taking into account the studies mentioned in </w:t>
        </w:r>
        <w:r w:rsidRPr="00237B12">
          <w:rPr>
            <w:i/>
            <w:rPrChange w:id="39" w:author="PH" w:date="2015-03-25T14:52:00Z">
              <w:rPr/>
            </w:rPrChange>
          </w:rPr>
          <w:t>considering</w:t>
        </w:r>
        <w:r w:rsidRPr="00237B12">
          <w:rPr>
            <w:i/>
          </w:rPr>
          <w:t> </w:t>
        </w:r>
        <w:r w:rsidRPr="00237B12">
          <w:rPr>
            <w:i/>
            <w:rPrChange w:id="40" w:author="PH" w:date="2015-03-25T14:52:00Z">
              <w:rPr/>
            </w:rPrChange>
          </w:rPr>
          <w:t>f)</w:t>
        </w:r>
        <w:r w:rsidRPr="00237B12">
          <w:t xml:space="preserve"> above, decided to study technical and regulatory measures to support the FSS earth stations referred to in </w:t>
        </w:r>
        <w:r w:rsidRPr="00237B12">
          <w:rPr>
            <w:i/>
            <w:iCs/>
          </w:rPr>
          <w:t>considering e)</w:t>
        </w:r>
        <w:r w:rsidRPr="00237B12">
          <w:t xml:space="preserve"> above</w:t>
        </w:r>
        <w:r w:rsidRPr="00237B12">
          <w:rPr>
            <w:iCs/>
          </w:rPr>
          <w:t>,</w:t>
        </w:r>
      </w:ins>
    </w:p>
    <w:p w:rsidR="002F1D12" w:rsidRPr="006905BC" w:rsidDel="00BF267F" w:rsidRDefault="002F1D12" w:rsidP="002F1D12">
      <w:pPr>
        <w:rPr>
          <w:del w:id="41" w:author="Tsarapkina, Yulia" w:date="2015-09-28T10:45:00Z"/>
        </w:rPr>
      </w:pPr>
      <w:del w:id="42" w:author="Gimenez, Christine" w:date="2015-09-24T11:01:00Z">
        <w:r w:rsidRPr="006905BC" w:rsidDel="00F1426D">
          <w:rPr>
            <w:i/>
          </w:rPr>
          <w:delText>d)</w:delText>
        </w:r>
        <w:r w:rsidRPr="006905BC" w:rsidDel="00F1426D">
          <w:tab/>
          <w:delText>that the use of FSS earth stations deployed in some countries in Region 1 for aeronautical communications has the potential to significantly enhance communications between air traffic control centres as well as with remote aeronautical stations,</w:delText>
        </w:r>
      </w:del>
    </w:p>
    <w:p w:rsidR="002F1D12" w:rsidRPr="00D36D7F" w:rsidRDefault="002F1D12" w:rsidP="002F1D12">
      <w:pPr>
        <w:pStyle w:val="Call"/>
      </w:pPr>
      <w:r w:rsidRPr="00D36D7F">
        <w:t>noting</w:t>
      </w:r>
    </w:p>
    <w:p w:rsidR="002F1D12" w:rsidRPr="00D36D7F" w:rsidDel="00D36D7F" w:rsidRDefault="002F1D12" w:rsidP="002F1D12">
      <w:pPr>
        <w:rPr>
          <w:del w:id="43" w:author="Tsarapkina, Yulia" w:date="2015-09-28T10:40:00Z"/>
        </w:rPr>
      </w:pPr>
      <w:del w:id="44" w:author="Tsarapkina, Yulia" w:date="2015-09-28T10:40:00Z">
        <w:r w:rsidRPr="00D36D7F" w:rsidDel="00D36D7F">
          <w:rPr>
            <w:i/>
          </w:rPr>
          <w:delText>a)</w:delText>
        </w:r>
        <w:r w:rsidRPr="00D36D7F" w:rsidDel="00D36D7F">
          <w:tab/>
          <w:delText xml:space="preserve">that the FSS is not a safety service; </w:delText>
        </w:r>
      </w:del>
    </w:p>
    <w:p w:rsidR="002F1D12" w:rsidRPr="00D36D7F" w:rsidDel="00D36D7F" w:rsidRDefault="002F1D12" w:rsidP="002F1D12">
      <w:pPr>
        <w:rPr>
          <w:del w:id="45" w:author="Tsarapkina, Yulia" w:date="2015-09-28T10:40:00Z"/>
        </w:rPr>
      </w:pPr>
      <w:del w:id="46" w:author="Tsarapkina, Yulia" w:date="2015-09-28T10:40:00Z">
        <w:r w:rsidRPr="00D36D7F" w:rsidDel="00D36D7F">
          <w:rPr>
            <w:i/>
          </w:rPr>
          <w:delText>b)</w:delText>
        </w:r>
        <w:r w:rsidRPr="00D36D7F" w:rsidDel="00D36D7F">
          <w:tab/>
          <w:delText>that, by its Resolution </w:delText>
        </w:r>
        <w:r w:rsidRPr="00D36D7F" w:rsidDel="00D36D7F">
          <w:rPr>
            <w:b/>
            <w:bCs/>
          </w:rPr>
          <w:delText>20 (Rev.WRC</w:delText>
        </w:r>
        <w:r w:rsidRPr="00D36D7F" w:rsidDel="00D36D7F">
          <w:rPr>
            <w:b/>
            <w:bCs/>
          </w:rPr>
          <w:noBreakHyphen/>
          <w:delText>03)</w:delText>
        </w:r>
        <w:r w:rsidRPr="00D36D7F" w:rsidDel="00D36D7F">
          <w:delText>, WRC resolved to instruct the Secretary-General “to encourage ICAO to continue its assistance to developing countries which are endeavouring to improve their aeronautical telecommunications ...”;</w:delText>
        </w:r>
      </w:del>
    </w:p>
    <w:p w:rsidR="002F1D12" w:rsidRPr="00D36D7F" w:rsidDel="00D36D7F" w:rsidRDefault="002F1D12" w:rsidP="002F1D12">
      <w:pPr>
        <w:rPr>
          <w:del w:id="47" w:author="Tsarapkina, Yulia" w:date="2015-09-28T10:40:00Z"/>
        </w:rPr>
      </w:pPr>
      <w:del w:id="48" w:author="Tsarapkina, Yulia" w:date="2015-09-28T10:40:00Z">
        <w:r w:rsidRPr="00D36D7F" w:rsidDel="00D36D7F">
          <w:rPr>
            <w:i/>
            <w:iCs/>
          </w:rPr>
          <w:delText>c)</w:delText>
        </w:r>
        <w:r w:rsidRPr="00D36D7F" w:rsidDel="00D36D7F">
          <w:tab/>
          <w:delText>Recommendation ITU</w:delText>
        </w:r>
        <w:r w:rsidRPr="00D36D7F" w:rsidDel="00D36D7F">
          <w:noBreakHyphen/>
          <w:delText>R SF.1486 on sharing methodology between fixed wireless access systems in the fixed service (FS) and very small aperture terminals (VSATs) in the FSS in the 3 400-3 700 MHz band;</w:delText>
        </w:r>
      </w:del>
    </w:p>
    <w:p w:rsidR="002F1D12" w:rsidRPr="00D36D7F" w:rsidDel="00D36D7F" w:rsidRDefault="002F1D12" w:rsidP="002F1D12">
      <w:pPr>
        <w:rPr>
          <w:del w:id="49" w:author="Tsarapkina, Yulia" w:date="2015-09-28T10:40:00Z"/>
        </w:rPr>
      </w:pPr>
      <w:del w:id="50" w:author="Tsarapkina, Yulia" w:date="2015-09-28T10:40:00Z">
        <w:r w:rsidRPr="00D36D7F" w:rsidDel="00D36D7F">
          <w:rPr>
            <w:i/>
            <w:iCs/>
          </w:rPr>
          <w:delText>d)</w:delText>
        </w:r>
        <w:r w:rsidRPr="00D36D7F" w:rsidDel="00D36D7F">
          <w:tab/>
          <w:delText>Report ITU</w:delText>
        </w:r>
        <w:r w:rsidRPr="00D36D7F" w:rsidDel="00D36D7F">
          <w:noBreakHyphen/>
          <w:delText>R S.2199 on studies on compatibility of broadband wireless access systems and FSS networks in the 3 400-4 200 MHz band;</w:delText>
        </w:r>
      </w:del>
    </w:p>
    <w:p w:rsidR="002F1D12" w:rsidRPr="00D36D7F" w:rsidDel="00D36D7F" w:rsidRDefault="002F1D12" w:rsidP="002F1D12">
      <w:pPr>
        <w:rPr>
          <w:del w:id="51" w:author="Tsarapkina, Yulia" w:date="2015-09-28T10:40:00Z"/>
          <w:b/>
        </w:rPr>
      </w:pPr>
      <w:del w:id="52" w:author="Tsarapkina, Yulia" w:date="2015-09-28T10:40:00Z">
        <w:r w:rsidRPr="00D36D7F" w:rsidDel="00D36D7F">
          <w:rPr>
            <w:i/>
            <w:iCs/>
          </w:rPr>
          <w:delText>e)</w:delText>
        </w:r>
        <w:r w:rsidRPr="00D36D7F" w:rsidDel="00D36D7F">
          <w:tab/>
          <w:delText>Report ITU</w:delText>
        </w:r>
        <w:r w:rsidRPr="00D36D7F" w:rsidDel="00D36D7F">
          <w:noBreakHyphen/>
          <w:delText>R M.2109 on sharing studies between International Mobile Telecommunications-Advanced (IMT</w:delText>
        </w:r>
        <w:r w:rsidRPr="00D36D7F" w:rsidDel="00D36D7F">
          <w:noBreakHyphen/>
          <w:delText>Advanced) systems and geostationary-satellite networks in the fixed-satellite service in the 3 400-4 200 MHz and 4 500-4 800 MHz frequency bands,</w:delText>
        </w:r>
      </w:del>
    </w:p>
    <w:p w:rsidR="002F1D12" w:rsidRPr="00237B12" w:rsidRDefault="002F1D12" w:rsidP="002F1D12">
      <w:pPr>
        <w:rPr>
          <w:ins w:id="53" w:author="Tsarapkina, Yulia" w:date="2015-09-28T10:40:00Z"/>
        </w:rPr>
      </w:pPr>
      <w:ins w:id="54" w:author="Tsarapkina, Yulia" w:date="2015-09-28T10:40:00Z">
        <w:r w:rsidRPr="00237B12">
          <w:rPr>
            <w:i/>
          </w:rPr>
          <w:t>a)</w:t>
        </w:r>
        <w:r w:rsidRPr="00237B12">
          <w:tab/>
          <w:t>that</w:t>
        </w:r>
        <w:r w:rsidRPr="00237B12">
          <w:rPr>
            <w:iCs/>
          </w:rPr>
          <w:t>,</w:t>
        </w:r>
        <w:r w:rsidRPr="00237B12">
          <w:t xml:space="preserve"> by the date of WRC</w:t>
        </w:r>
        <w:r w:rsidRPr="00237B12">
          <w:rPr>
            <w:lang w:eastAsia="zh-CN"/>
          </w:rPr>
          <w:noBreakHyphen/>
        </w:r>
        <w:r w:rsidRPr="00237B12">
          <w:t>15</w:t>
        </w:r>
        <w:r w:rsidRPr="00237B12">
          <w:rPr>
            <w:iCs/>
          </w:rPr>
          <w:t>,</w:t>
        </w:r>
        <w:r w:rsidRPr="00237B12">
          <w:t xml:space="preserve"> several cases of harmful interference to the FSS VSATs used for aeronautical safety communications from </w:t>
        </w:r>
        <w:r w:rsidRPr="00237B12">
          <w:rPr>
            <w:bCs/>
          </w:rPr>
          <w:t xml:space="preserve">fixed wireless access or </w:t>
        </w:r>
        <w:r w:rsidRPr="00237B12">
          <w:t>IMT stations of the same administration were reported;</w:t>
        </w:r>
      </w:ins>
    </w:p>
    <w:p w:rsidR="002F1D12" w:rsidRPr="00237B12" w:rsidRDefault="002F1D12" w:rsidP="002F1D12">
      <w:pPr>
        <w:rPr>
          <w:ins w:id="55" w:author="Tsarapkina, Yulia" w:date="2015-09-28T10:40:00Z"/>
        </w:rPr>
      </w:pPr>
      <w:ins w:id="56" w:author="Tsarapkina, Yulia" w:date="2015-09-28T10:40:00Z">
        <w:r w:rsidRPr="00237B12">
          <w:rPr>
            <w:i/>
            <w:iCs/>
          </w:rPr>
          <w:t>b)</w:t>
        </w:r>
        <w:r w:rsidRPr="00237B12">
          <w:tab/>
          <w:t xml:space="preserve">that these reported cases of interference revealed some national difficulties in the coordination of frequencies between the respective national telecommunication regulators responsible for licensing </w:t>
        </w:r>
        <w:r w:rsidRPr="00237B12">
          <w:rPr>
            <w:bCs/>
          </w:rPr>
          <w:t xml:space="preserve">fixed wireless access or </w:t>
        </w:r>
        <w:r w:rsidRPr="00237B12">
          <w:t>IMT systems and national aviation authorities responsible for the management of frequencies for aeronautical purposes, including assignments for VSATs;</w:t>
        </w:r>
      </w:ins>
    </w:p>
    <w:p w:rsidR="002F1D12" w:rsidRPr="00237B12" w:rsidRDefault="002F1D12" w:rsidP="002F1D12">
      <w:pPr>
        <w:rPr>
          <w:ins w:id="57" w:author="Tsarapkina, Yulia" w:date="2015-09-28T10:40:00Z"/>
        </w:rPr>
      </w:pPr>
      <w:ins w:id="58" w:author="Tsarapkina, Yulia" w:date="2015-09-28T10:40:00Z">
        <w:r w:rsidRPr="00237B12">
          <w:rPr>
            <w:i/>
            <w:iCs/>
            <w:color w:val="000000"/>
          </w:rPr>
          <w:t>c)</w:t>
        </w:r>
        <w:r w:rsidRPr="00237B12">
          <w:rPr>
            <w:i/>
            <w:iCs/>
            <w:color w:val="000000"/>
          </w:rPr>
          <w:tab/>
        </w:r>
        <w:r w:rsidRPr="00237B12">
          <w:t>that</w:t>
        </w:r>
        <w:r w:rsidRPr="00237B12">
          <w:rPr>
            <w:iCs/>
          </w:rPr>
          <w:t>,</w:t>
        </w:r>
        <w:r w:rsidRPr="00237B12">
          <w:t xml:space="preserve"> in many countries</w:t>
        </w:r>
        <w:r w:rsidRPr="00237B12">
          <w:rPr>
            <w:iCs/>
          </w:rPr>
          <w:t>,</w:t>
        </w:r>
        <w:r w:rsidRPr="00237B12">
          <w:t xml:space="preserve"> FSS VSAT earth stations are not subject to individual licensing and not registered as specific stations in national frequency databases and in the ITU Master International Frequency Register (MIFR) due to considerable administrative work;</w:t>
        </w:r>
      </w:ins>
    </w:p>
    <w:p w:rsidR="002F1D12" w:rsidRPr="00237B12" w:rsidRDefault="002F1D12" w:rsidP="002F1D12">
      <w:pPr>
        <w:rPr>
          <w:ins w:id="59" w:author="Tsarapkina, Yulia" w:date="2015-09-28T10:40:00Z"/>
        </w:rPr>
      </w:pPr>
      <w:ins w:id="60" w:author="Tsarapkina, Yulia" w:date="2015-09-28T10:40:00Z">
        <w:r w:rsidRPr="00237B12">
          <w:rPr>
            <w:i/>
            <w:iCs/>
          </w:rPr>
          <w:t>d)</w:t>
        </w:r>
        <w:r w:rsidRPr="00237B12">
          <w:tab/>
          <w:t xml:space="preserve">that the knowledge of the location and operational frequencies of VSAT stations used for communications to aid the safe operation of aircraft and/or distribution of meteorological information is critically important for ensuring compatibility with applications of other services, </w:t>
        </w:r>
      </w:ins>
    </w:p>
    <w:p w:rsidR="002F1D12" w:rsidRPr="00237B12" w:rsidRDefault="002F1D12" w:rsidP="002F1D12">
      <w:pPr>
        <w:pStyle w:val="Call"/>
        <w:rPr>
          <w:ins w:id="61" w:author="Gimenez, Christine" w:date="2015-09-24T11:02:00Z"/>
        </w:rPr>
      </w:pPr>
      <w:ins w:id="62" w:author="Gimenez, Christine" w:date="2015-09-24T11:02:00Z">
        <w:r w:rsidRPr="00237B12">
          <w:t>recognizing</w:t>
        </w:r>
      </w:ins>
    </w:p>
    <w:p w:rsidR="002F1D12" w:rsidRPr="00237B12" w:rsidRDefault="002F1D12" w:rsidP="002F1D12">
      <w:pPr>
        <w:rPr>
          <w:ins w:id="63" w:author="Gimenez, Christine" w:date="2015-09-24T11:02:00Z"/>
        </w:rPr>
      </w:pPr>
      <w:ins w:id="64" w:author="Gimenez, Christine" w:date="2015-09-24T11:02:00Z">
        <w:r w:rsidRPr="00237B12">
          <w:rPr>
            <w:i/>
            <w:iCs/>
          </w:rPr>
          <w:t>a)</w:t>
        </w:r>
        <w:r w:rsidRPr="00237B12">
          <w:tab/>
          <w:t>that ITU</w:t>
        </w:r>
        <w:r w:rsidRPr="00237B12">
          <w:rPr>
            <w:lang w:eastAsia="zh-CN"/>
          </w:rPr>
          <w:noBreakHyphen/>
        </w:r>
        <w:r w:rsidRPr="00237B12">
          <w:t>R conducted comprehensive studies of compatibility between the FSS on the one hand and the fixed wireless access systems and IMT applications on the other hand in the band 3 400-4 200 MHz</w:t>
        </w:r>
        <w:r w:rsidRPr="00237B12">
          <w:rPr>
            <w:iCs/>
          </w:rPr>
          <w:t>,</w:t>
        </w:r>
        <w:r w:rsidRPr="00237B12">
          <w:t xml:space="preserve"> and summarized the results of the studies in Recommendation ITU</w:t>
        </w:r>
        <w:r w:rsidRPr="00237B12">
          <w:noBreakHyphen/>
          <w:t>R SF.1486 as well as Reports ITU</w:t>
        </w:r>
        <w:r w:rsidRPr="00237B12">
          <w:noBreakHyphen/>
          <w:t>R S.2199, ITU</w:t>
        </w:r>
        <w:r w:rsidRPr="00237B12">
          <w:noBreakHyphen/>
          <w:t>R M.2109 and ITU</w:t>
        </w:r>
        <w:r w:rsidRPr="00237B12">
          <w:rPr>
            <w:lang w:eastAsia="zh-CN"/>
          </w:rPr>
          <w:noBreakHyphen/>
        </w:r>
        <w:r w:rsidRPr="00237B12">
          <w:t>R </w:t>
        </w:r>
      </w:ins>
      <w:ins w:id="65" w:author="Gimenez, Christine" w:date="2015-09-24T11:03:00Z">
        <w:r>
          <w:t>S.2368</w:t>
        </w:r>
      </w:ins>
      <w:ins w:id="66" w:author="Gimenez, Christine" w:date="2015-09-24T11:02:00Z">
        <w:r w:rsidRPr="00237B12">
          <w:t>;</w:t>
        </w:r>
      </w:ins>
    </w:p>
    <w:p w:rsidR="002F1D12" w:rsidRPr="00237B12" w:rsidRDefault="002F1D12" w:rsidP="002F1D12">
      <w:pPr>
        <w:rPr>
          <w:ins w:id="67" w:author="Gimenez, Christine" w:date="2015-09-24T11:03:00Z"/>
        </w:rPr>
      </w:pPr>
      <w:ins w:id="68" w:author="Gimenez, Christine" w:date="2015-09-24T11:03:00Z">
        <w:r w:rsidRPr="00237B12">
          <w:rPr>
            <w:i/>
            <w:iCs/>
          </w:rPr>
          <w:t>b)</w:t>
        </w:r>
        <w:r w:rsidRPr="00237B12">
          <w:tab/>
          <w:t xml:space="preserve">that the Recommendation and Reports identified in </w:t>
        </w:r>
        <w:r w:rsidRPr="00237B12">
          <w:rPr>
            <w:i/>
          </w:rPr>
          <w:t>recognizing a)</w:t>
        </w:r>
        <w:r w:rsidRPr="00237B12">
          <w:t xml:space="preserve"> offer a set of mitigation techniques that could be employed for international coordination and at a national level and to facilitate coexistence of FSS, fixed service and mobile service systems;</w:t>
        </w:r>
      </w:ins>
    </w:p>
    <w:p w:rsidR="002F1D12" w:rsidRPr="00D36D7F" w:rsidRDefault="002F1D12" w:rsidP="002F1D12">
      <w:pPr>
        <w:rPr>
          <w:ins w:id="69" w:author="Gimenez, Christine" w:date="2015-09-24T11:03:00Z"/>
        </w:rPr>
      </w:pPr>
      <w:ins w:id="70" w:author="Gimenez, Christine" w:date="2015-09-24T11:03:00Z">
        <w:r w:rsidRPr="00D36D7F">
          <w:rPr>
            <w:i/>
            <w:iCs/>
          </w:rPr>
          <w:t>c)</w:t>
        </w:r>
        <w:r w:rsidRPr="00237B12">
          <w:tab/>
          <w:t>that Recommendation ITU</w:t>
        </w:r>
        <w:r w:rsidRPr="00237B12">
          <w:noBreakHyphen/>
          <w:t xml:space="preserve">R S.1856 </w:t>
        </w:r>
        <w:r w:rsidRPr="00D36D7F">
          <w:t>contains methodologies for verification of the power flux-density (pfd) limit set forth in No. </w:t>
        </w:r>
        <w:r w:rsidRPr="00D36D7F">
          <w:rPr>
            <w:b/>
            <w:bCs/>
          </w:rPr>
          <w:t>5.430A</w:t>
        </w:r>
        <w:r w:rsidRPr="00D36D7F">
          <w:t>,</w:t>
        </w:r>
      </w:ins>
    </w:p>
    <w:p w:rsidR="002F1D12" w:rsidRPr="00237B12" w:rsidRDefault="002F1D12" w:rsidP="002F1D12">
      <w:pPr>
        <w:pStyle w:val="Call"/>
        <w:rPr>
          <w:ins w:id="71" w:author="Gimenez, Christine" w:date="2015-09-24T11:03:00Z"/>
        </w:rPr>
      </w:pPr>
      <w:ins w:id="72" w:author="Gimenez, Christine" w:date="2015-09-24T11:03:00Z">
        <w:r w:rsidRPr="00237B12">
          <w:t>resolves</w:t>
        </w:r>
      </w:ins>
    </w:p>
    <w:p w:rsidR="002F1D12" w:rsidRPr="00237B12" w:rsidRDefault="002F1D12" w:rsidP="002F1D12">
      <w:pPr>
        <w:rPr>
          <w:ins w:id="73" w:author="Gimenez, Christine" w:date="2015-09-24T11:03:00Z"/>
        </w:rPr>
      </w:pPr>
      <w:ins w:id="74" w:author="Gimenez, Christine" w:date="2015-09-24T11:03:00Z">
        <w:r w:rsidRPr="00237B12">
          <w:t>1</w:t>
        </w:r>
        <w:r w:rsidRPr="00237B12">
          <w:tab/>
          <w:t>that the administrations listed in No. </w:t>
        </w:r>
        <w:r w:rsidRPr="00D36D7F">
          <w:rPr>
            <w:b/>
            <w:bCs/>
          </w:rPr>
          <w:t>5.430A</w:t>
        </w:r>
        <w:r w:rsidRPr="00237B12">
          <w:t xml:space="preserve"> shall ensure the compliance of IMT stations with the</w:t>
        </w:r>
        <w:r w:rsidRPr="00D36D7F">
          <w:t xml:space="preserve"> pfd limit set forth therein, and </w:t>
        </w:r>
        <w:r w:rsidRPr="00237B12">
          <w:t xml:space="preserve">apply the relevant coordination procedures before bringing these applications into use; </w:t>
        </w:r>
      </w:ins>
    </w:p>
    <w:p w:rsidR="002F1D12" w:rsidRPr="00237B12" w:rsidRDefault="002F1D12" w:rsidP="002F1D12">
      <w:pPr>
        <w:rPr>
          <w:ins w:id="75" w:author="Gimenez, Christine" w:date="2015-09-24T11:03:00Z"/>
        </w:rPr>
      </w:pPr>
      <w:ins w:id="76" w:author="Gimenez, Christine" w:date="2015-09-24T11:03:00Z">
        <w:r w:rsidRPr="00237B12">
          <w:t>2</w:t>
        </w:r>
        <w:r w:rsidRPr="00237B12">
          <w:tab/>
          <w:t>to urge administrations, when planning and licensing fixed point-to-point</w:t>
        </w:r>
        <w:r w:rsidRPr="00237B12">
          <w:rPr>
            <w:bCs/>
          </w:rPr>
          <w:t xml:space="preserve">, fixed wireless access, and </w:t>
        </w:r>
        <w:r w:rsidRPr="00237B12">
          <w:t xml:space="preserve">IMT systems in bands referred to in </w:t>
        </w:r>
        <w:r w:rsidRPr="00237B12">
          <w:rPr>
            <w:i/>
            <w:iCs/>
          </w:rPr>
          <w:t>considering</w:t>
        </w:r>
        <w:r w:rsidRPr="00237B12">
          <w:rPr>
            <w:i/>
          </w:rPr>
          <w:t> </w:t>
        </w:r>
        <w:r w:rsidRPr="00237B12">
          <w:rPr>
            <w:i/>
            <w:iCs/>
          </w:rPr>
          <w:t>b)</w:t>
        </w:r>
        <w:r w:rsidRPr="00237B12">
          <w:t xml:space="preserve"> above, to take into account the protection needs of existing and planned FSS VSAT earth stations by coordinating the</w:t>
        </w:r>
        <w:r w:rsidRPr="00237B12">
          <w:rPr>
            <w:rPrChange w:id="77" w:author="Nelson Malaguti" w:date="2014-07-04T16:56:00Z">
              <w:rPr>
                <w:highlight w:val="yellow"/>
              </w:rPr>
            </w:rPrChange>
          </w:rPr>
          <w:t xml:space="preserve"> </w:t>
        </w:r>
        <w:r w:rsidRPr="00237B12">
          <w:t>deployment of the systems mentioned above with the respective aviation and meteorological authorities at a national level;</w:t>
        </w:r>
      </w:ins>
    </w:p>
    <w:p w:rsidR="002F1D12" w:rsidRPr="00237B12" w:rsidRDefault="002F1D12" w:rsidP="002F1D12">
      <w:pPr>
        <w:rPr>
          <w:ins w:id="78" w:author="Gimenez, Christine" w:date="2015-09-24T11:03:00Z"/>
        </w:rPr>
      </w:pPr>
      <w:ins w:id="79" w:author="Gimenez, Christine" w:date="2015-09-24T11:03:00Z">
        <w:r w:rsidRPr="00237B12">
          <w:t>3</w:t>
        </w:r>
        <w:r w:rsidRPr="00237B12">
          <w:tab/>
          <w:t>to invite administrations, taking into account the number of earth stations involved for this particular type of usage, to consider the possibility of licensing the FSS VSAT earth stations used for communications as an aid to the safe operation of aircraft and/or distribution of meteorological information on an individual basis and registering them in the MIFR as specific earth stations;</w:t>
        </w:r>
      </w:ins>
    </w:p>
    <w:p w:rsidR="002F1D12" w:rsidRPr="00237B12" w:rsidRDefault="002F1D12" w:rsidP="002F1D12">
      <w:pPr>
        <w:rPr>
          <w:ins w:id="80" w:author="Gimenez, Christine" w:date="2015-09-24T11:03:00Z"/>
        </w:rPr>
      </w:pPr>
      <w:ins w:id="81" w:author="Gimenez, Christine" w:date="2015-09-24T11:03:00Z">
        <w:r w:rsidRPr="00237B12">
          <w:t>4</w:t>
        </w:r>
        <w:r w:rsidRPr="00237B12">
          <w:tab/>
          <w:t xml:space="preserve">to encourage administrations to employ the appropriate mitigation techniques described in the ITU-R publications referred to in </w:t>
        </w:r>
        <w:r w:rsidRPr="00237B12">
          <w:rPr>
            <w:i/>
            <w:iCs/>
          </w:rPr>
          <w:t>recognizing</w:t>
        </w:r>
        <w:r w:rsidRPr="00237B12">
          <w:t> </w:t>
        </w:r>
        <w:r w:rsidRPr="00237B12">
          <w:rPr>
            <w:i/>
            <w:iCs/>
          </w:rPr>
          <w:t>a)</w:t>
        </w:r>
        <w:r w:rsidRPr="00237B12">
          <w:t xml:space="preserve"> above;</w:t>
        </w:r>
      </w:ins>
    </w:p>
    <w:p w:rsidR="002F1D12" w:rsidRPr="00237B12" w:rsidRDefault="002F1D12" w:rsidP="002F1D12">
      <w:pPr>
        <w:rPr>
          <w:ins w:id="82" w:author="Gimenez, Christine" w:date="2015-09-24T11:03:00Z"/>
        </w:rPr>
      </w:pPr>
      <w:ins w:id="83" w:author="Gimenez, Christine" w:date="2015-09-24T11:03:00Z">
        <w:r w:rsidRPr="00237B12">
          <w:t>5</w:t>
        </w:r>
        <w:r w:rsidRPr="00237B12">
          <w:tab/>
          <w:t>to invite administrations to ensure that the application of these technical and regulatory measures to the FSS and mobile service does not limit the use of the band 3</w:t>
        </w:r>
        <w:r w:rsidRPr="00237B12">
          <w:rPr>
            <w:i/>
          </w:rPr>
          <w:t> </w:t>
        </w:r>
        <w:r w:rsidRPr="00237B12">
          <w:t>400-4</w:t>
        </w:r>
        <w:r w:rsidRPr="00237B12">
          <w:rPr>
            <w:i/>
          </w:rPr>
          <w:t> </w:t>
        </w:r>
        <w:r w:rsidRPr="00237B12">
          <w:t>200</w:t>
        </w:r>
        <w:r w:rsidRPr="00237B12">
          <w:rPr>
            <w:i/>
          </w:rPr>
          <w:t> </w:t>
        </w:r>
        <w:r w:rsidRPr="00237B12">
          <w:t>MHz by other existing and planned systems and services in other countries,</w:t>
        </w:r>
      </w:ins>
    </w:p>
    <w:p w:rsidR="002F1D12" w:rsidRPr="00D36D7F" w:rsidDel="00D36D7F" w:rsidRDefault="002F1D12" w:rsidP="002F1D12">
      <w:pPr>
        <w:pStyle w:val="Call"/>
        <w:rPr>
          <w:del w:id="84" w:author="Tsarapkina, Yulia" w:date="2015-09-28T10:41:00Z"/>
        </w:rPr>
      </w:pPr>
      <w:del w:id="85" w:author="Tsarapkina, Yulia" w:date="2015-09-28T10:41:00Z">
        <w:r w:rsidRPr="00D36D7F" w:rsidDel="00D36D7F">
          <w:delText>resolves to invite ITU</w:delText>
        </w:r>
        <w:r w:rsidRPr="00D36D7F" w:rsidDel="00D36D7F">
          <w:noBreakHyphen/>
          <w:delText>R</w:delText>
        </w:r>
      </w:del>
    </w:p>
    <w:p w:rsidR="002F1D12" w:rsidRPr="00D36D7F" w:rsidDel="00D36D7F" w:rsidRDefault="002F1D12" w:rsidP="002F1D12">
      <w:pPr>
        <w:rPr>
          <w:del w:id="86" w:author="Tsarapkina, Yulia" w:date="2015-09-28T10:41:00Z"/>
        </w:rPr>
      </w:pPr>
      <w:del w:id="87" w:author="Tsarapkina, Yulia" w:date="2015-09-28T10:41:00Z">
        <w:r w:rsidRPr="00D36D7F" w:rsidDel="00D36D7F">
          <w:delText xml:space="preserve">to study possible technical and regulatory measures in some countries in Region 1 to support the existing and future FSS earth stations in the 3 400-4 200 MHz band used for satellite communications related to safe operation of aircraft and reliable distribution of meteorological information referred to in </w:delText>
        </w:r>
        <w:r w:rsidRPr="00D36D7F" w:rsidDel="00D36D7F">
          <w:rPr>
            <w:i/>
            <w:iCs/>
          </w:rPr>
          <w:delText>considering c)</w:delText>
        </w:r>
        <w:r w:rsidRPr="00D36D7F" w:rsidDel="00D36D7F">
          <w:rPr>
            <w:iCs/>
          </w:rPr>
          <w:delText>,</w:delText>
        </w:r>
      </w:del>
    </w:p>
    <w:p w:rsidR="002F1D12" w:rsidRPr="00D36D7F" w:rsidDel="00D36D7F" w:rsidRDefault="002F1D12" w:rsidP="002F1D12">
      <w:pPr>
        <w:pStyle w:val="Call"/>
        <w:rPr>
          <w:del w:id="88" w:author="Tsarapkina, Yulia" w:date="2015-09-28T10:41:00Z"/>
        </w:rPr>
      </w:pPr>
      <w:del w:id="89" w:author="Tsarapkina, Yulia" w:date="2015-09-28T10:41:00Z">
        <w:r w:rsidRPr="00D36D7F" w:rsidDel="00D36D7F">
          <w:delText>invites</w:delText>
        </w:r>
      </w:del>
    </w:p>
    <w:p w:rsidR="002F1D12" w:rsidRPr="00D36D7F" w:rsidDel="00D36D7F" w:rsidRDefault="002F1D12" w:rsidP="002F1D12">
      <w:pPr>
        <w:rPr>
          <w:del w:id="90" w:author="Tsarapkina, Yulia" w:date="2015-09-28T10:41:00Z"/>
        </w:rPr>
      </w:pPr>
      <w:del w:id="91" w:author="Tsarapkina, Yulia" w:date="2015-09-28T10:41:00Z">
        <w:r w:rsidRPr="00D36D7F" w:rsidDel="00D36D7F">
          <w:delText>all members of the Radiocommunication Sector, ICAO and WMO to contribute to these studies,</w:delText>
        </w:r>
      </w:del>
    </w:p>
    <w:p w:rsidR="002F1D12" w:rsidRPr="00D36D7F" w:rsidDel="00D36D7F" w:rsidRDefault="002F1D12" w:rsidP="002F1D12">
      <w:pPr>
        <w:pStyle w:val="Call"/>
        <w:rPr>
          <w:del w:id="92" w:author="Tsarapkina, Yulia" w:date="2015-09-28T10:41:00Z"/>
        </w:rPr>
      </w:pPr>
      <w:del w:id="93" w:author="Tsarapkina, Yulia" w:date="2015-09-28T10:41:00Z">
        <w:r w:rsidRPr="00D36D7F" w:rsidDel="00D36D7F">
          <w:delText>instructs the Director of the Radiocommunication Bureau</w:delText>
        </w:r>
      </w:del>
    </w:p>
    <w:p w:rsidR="002F1D12" w:rsidRPr="00D36D7F" w:rsidDel="00D36D7F" w:rsidRDefault="002F1D12" w:rsidP="002F1D12">
      <w:pPr>
        <w:rPr>
          <w:del w:id="94" w:author="Tsarapkina, Yulia" w:date="2015-09-28T10:41:00Z"/>
        </w:rPr>
      </w:pPr>
      <w:del w:id="95" w:author="Tsarapkina, Yulia" w:date="2015-09-28T10:41:00Z">
        <w:r w:rsidRPr="00D36D7F" w:rsidDel="00D36D7F">
          <w:delText>to include the results of these studies in his Report to WRC</w:delText>
        </w:r>
        <w:r w:rsidRPr="00D36D7F" w:rsidDel="00D36D7F">
          <w:noBreakHyphen/>
          <w:delText xml:space="preserve">15 for the purposes of considering adequate actions in response to </w:delText>
        </w:r>
        <w:r w:rsidRPr="00D36D7F" w:rsidDel="00D36D7F">
          <w:rPr>
            <w:i/>
          </w:rPr>
          <w:delText>resolves to invite ITU</w:delText>
        </w:r>
        <w:r w:rsidRPr="00D36D7F" w:rsidDel="00D36D7F">
          <w:rPr>
            <w:i/>
          </w:rPr>
          <w:noBreakHyphen/>
          <w:delText>R</w:delText>
        </w:r>
        <w:r w:rsidRPr="00D36D7F" w:rsidDel="00D36D7F">
          <w:rPr>
            <w:iCs/>
          </w:rPr>
          <w:delText xml:space="preserve"> </w:delText>
        </w:r>
        <w:r w:rsidRPr="00D36D7F" w:rsidDel="00D36D7F">
          <w:delText>above,</w:delText>
        </w:r>
      </w:del>
    </w:p>
    <w:p w:rsidR="002F1D12" w:rsidRPr="00D36D7F" w:rsidRDefault="002F1D12" w:rsidP="002F1D12">
      <w:pPr>
        <w:pStyle w:val="Call"/>
      </w:pPr>
      <w:r w:rsidRPr="00D36D7F">
        <w:t>instructs the Secretary-General</w:t>
      </w:r>
    </w:p>
    <w:p w:rsidR="002F1D12" w:rsidRPr="00D36D7F" w:rsidRDefault="002F1D12" w:rsidP="002F1D12">
      <w:r w:rsidRPr="00D36D7F">
        <w:t>to bring this Resolution to the attention of ICAO and WMO.</w:t>
      </w:r>
    </w:p>
    <w:p w:rsidR="002F1D12" w:rsidRDefault="002F1D12" w:rsidP="002F1D12">
      <w:pPr>
        <w:pStyle w:val="Reasons"/>
      </w:pPr>
      <w:r w:rsidRPr="00D36D7F">
        <w:rPr>
          <w:b/>
        </w:rPr>
        <w:t>Reasons:</w:t>
      </w:r>
      <w:r w:rsidRPr="00D36D7F">
        <w:tab/>
      </w:r>
      <w:r w:rsidRPr="00237B12">
        <w:rPr>
          <w:lang w:val="en-US"/>
        </w:rPr>
        <w:t xml:space="preserve">This would increase the protection of satellite communications related to safe operation of aircraft and reliable </w:t>
      </w:r>
      <w:r w:rsidRPr="00D36D7F">
        <w:t>distribution</w:t>
      </w:r>
      <w:r w:rsidRPr="00237B12">
        <w:rPr>
          <w:lang w:val="en-US"/>
        </w:rPr>
        <w:t xml:space="preserve"> of meteorological information in the 3 400</w:t>
      </w:r>
      <w:r>
        <w:rPr>
          <w:lang w:val="en-US"/>
        </w:rPr>
        <w:t>-</w:t>
      </w:r>
      <w:r w:rsidRPr="00237B12">
        <w:rPr>
          <w:lang w:val="en-US"/>
        </w:rPr>
        <w:t>3 600 MHz band.</w:t>
      </w:r>
    </w:p>
    <w:p w:rsidR="00DC4070" w:rsidRDefault="002F1D12" w:rsidP="002F1D12">
      <w:pPr>
        <w:jc w:val="center"/>
      </w:pPr>
      <w:r>
        <w:t>______________</w:t>
      </w:r>
    </w:p>
    <w:sectPr w:rsidR="00DC4070">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rsidR="0072417F">
      <w:fldChar w:fldCharType="separate"/>
    </w:r>
    <w:r w:rsidR="0072417F">
      <w:rPr>
        <w:noProof/>
      </w:rPr>
      <w:t>4</w: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2417F">
      <w:rPr>
        <w:noProof/>
        <w:lang w:val="en-US"/>
      </w:rPr>
      <w:t>P:\ENG\ITU-R\CONF-R\CMR15\000\028ADD23ADD01ADD05E.docx</w:t>
    </w:r>
    <w:r>
      <w:fldChar w:fldCharType="end"/>
    </w:r>
    <w:r w:rsidRPr="0041348E">
      <w:rPr>
        <w:lang w:val="en-US"/>
      </w:rPr>
      <w:tab/>
    </w:r>
    <w:r>
      <w:fldChar w:fldCharType="begin"/>
    </w:r>
    <w:r>
      <w:instrText xml:space="preserve"> SAVEDATE \@ DD.MM.YY </w:instrText>
    </w:r>
    <w:r>
      <w:fldChar w:fldCharType="separate"/>
    </w:r>
    <w:r w:rsidR="0072417F">
      <w:rPr>
        <w:noProof/>
      </w:rPr>
      <w:t>28.09.15</w:t>
    </w:r>
    <w:r>
      <w:fldChar w:fldCharType="end"/>
    </w:r>
    <w:r w:rsidRPr="0041348E">
      <w:rPr>
        <w:lang w:val="en-US"/>
      </w:rPr>
      <w:tab/>
    </w:r>
    <w:r>
      <w:fldChar w:fldCharType="begin"/>
    </w:r>
    <w:r>
      <w:instrText xml:space="preserve"> PRINTDATE \@ DD.MM.YY </w:instrText>
    </w:r>
    <w:r>
      <w:fldChar w:fldCharType="separate"/>
    </w:r>
    <w:r w:rsidR="0072417F">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D12" w:rsidRPr="0041348E" w:rsidRDefault="002F1D12" w:rsidP="002F1D12">
    <w:pPr>
      <w:pStyle w:val="Footer"/>
      <w:rPr>
        <w:lang w:val="en-US"/>
      </w:rPr>
    </w:pPr>
    <w:r>
      <w:fldChar w:fldCharType="begin"/>
    </w:r>
    <w:r w:rsidRPr="0041348E">
      <w:rPr>
        <w:lang w:val="en-US"/>
      </w:rPr>
      <w:instrText xml:space="preserve"> FILENAME \p  \* MERGEFORMAT </w:instrText>
    </w:r>
    <w:r>
      <w:fldChar w:fldCharType="separate"/>
    </w:r>
    <w:r w:rsidR="0072417F">
      <w:rPr>
        <w:lang w:val="en-US"/>
      </w:rPr>
      <w:t>P:\ENG\ITU-R\CONF-R\CMR15\000\028ADD23ADD01ADD05E.docx</w:t>
    </w:r>
    <w:r>
      <w:fldChar w:fldCharType="end"/>
    </w:r>
    <w:r>
      <w:t xml:space="preserve"> (387051)</w:t>
    </w:r>
    <w:r w:rsidRPr="0041348E">
      <w:rPr>
        <w:lang w:val="en-US"/>
      </w:rPr>
      <w:tab/>
    </w:r>
    <w:r>
      <w:fldChar w:fldCharType="begin"/>
    </w:r>
    <w:r>
      <w:instrText xml:space="preserve"> SAVEDATE \@ DD.MM.YY </w:instrText>
    </w:r>
    <w:r>
      <w:fldChar w:fldCharType="separate"/>
    </w:r>
    <w:r w:rsidR="0072417F">
      <w:t>28.09.15</w:t>
    </w:r>
    <w:r>
      <w:fldChar w:fldCharType="end"/>
    </w:r>
    <w:r w:rsidRPr="0041348E">
      <w:rPr>
        <w:lang w:val="en-US"/>
      </w:rPr>
      <w:tab/>
    </w:r>
    <w:r>
      <w:fldChar w:fldCharType="begin"/>
    </w:r>
    <w:r>
      <w:instrText xml:space="preserve"> PRINTDATE \@ DD.MM.YY </w:instrText>
    </w:r>
    <w:r>
      <w:fldChar w:fldCharType="separate"/>
    </w:r>
    <w:r w:rsidR="0072417F">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72417F">
      <w:rPr>
        <w:lang w:val="en-US"/>
      </w:rPr>
      <w:t>P:\ENG\ITU-R\CONF-R\CMR15\000\028ADD23ADD01ADD05E.docx</w:t>
    </w:r>
    <w:r>
      <w:fldChar w:fldCharType="end"/>
    </w:r>
    <w:r w:rsidR="002F1D12">
      <w:t xml:space="preserve"> (387051)</w:t>
    </w:r>
    <w:r w:rsidRPr="0041348E">
      <w:rPr>
        <w:lang w:val="en-US"/>
      </w:rPr>
      <w:tab/>
    </w:r>
    <w:r>
      <w:fldChar w:fldCharType="begin"/>
    </w:r>
    <w:r>
      <w:instrText xml:space="preserve"> SAVEDATE \@ DD.MM.YY </w:instrText>
    </w:r>
    <w:r>
      <w:fldChar w:fldCharType="separate"/>
    </w:r>
    <w:r w:rsidR="0072417F">
      <w:t>28.09.15</w:t>
    </w:r>
    <w:r>
      <w:fldChar w:fldCharType="end"/>
    </w:r>
    <w:r w:rsidRPr="0041348E">
      <w:rPr>
        <w:lang w:val="en-US"/>
      </w:rPr>
      <w:tab/>
    </w:r>
    <w:r>
      <w:fldChar w:fldCharType="begin"/>
    </w:r>
    <w:r>
      <w:instrText xml:space="preserve"> PRINTDATE \@ DD.MM.YY </w:instrText>
    </w:r>
    <w:r>
      <w:fldChar w:fldCharType="separate"/>
    </w:r>
    <w:r w:rsidR="0072417F">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72417F">
      <w:rPr>
        <w:noProof/>
      </w:rPr>
      <w:t>4</w:t>
    </w:r>
    <w:r>
      <w:fldChar w:fldCharType="end"/>
    </w:r>
  </w:p>
  <w:p w:rsidR="00A066F1" w:rsidRPr="00A066F1" w:rsidRDefault="00187BD9" w:rsidP="00241FA2">
    <w:pPr>
      <w:pStyle w:val="Header"/>
    </w:pPr>
    <w:r>
      <w:t>CMR1</w:t>
    </w:r>
    <w:r w:rsidR="00241FA2">
      <w:t>5</w:t>
    </w:r>
    <w:r w:rsidR="00A066F1">
      <w:t>/</w:t>
    </w:r>
    <w:bookmarkStart w:id="96" w:name="OLE_LINK1"/>
    <w:bookmarkStart w:id="97" w:name="OLE_LINK2"/>
    <w:bookmarkStart w:id="98" w:name="OLE_LINK3"/>
    <w:r w:rsidR="00EB55C6">
      <w:t>28(Add.23)(Add.1)(Add.5)</w:t>
    </w:r>
    <w:bookmarkEnd w:id="96"/>
    <w:bookmarkEnd w:id="97"/>
    <w:bookmarkEnd w:id="9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Gimenez, Christine">
    <w15:presenceInfo w15:providerId="AD" w15:userId="S-1-5-21-8740799-900759487-1415713722-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2F1D12"/>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2417F"/>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C407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8485B"/>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47CE3BE-06E7-4E3A-8B33-57A396FE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D1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character" w:customStyle="1" w:styleId="CallChar">
    <w:name w:val="Call Char"/>
    <w:link w:val="Call"/>
    <w:locked/>
    <w:rsid w:val="002F1D12"/>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R15-WRC15-C-0028!A23-A1-A5!MSW-E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C521CA2D-649F-48CF-8468-C65CEE4EA698}">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1EB256F7-AB4D-49F8-A623-4827B67F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TotalTime>
  <Pages>4</Pages>
  <Words>1024</Words>
  <Characters>5830</Characters>
  <Application>Microsoft Office Word</Application>
  <DocSecurity>0</DocSecurity>
  <Lines>111</Lines>
  <Paragraphs>45</Paragraphs>
  <ScaleCrop>false</ScaleCrop>
  <HeadingPairs>
    <vt:vector size="2" baseType="variant">
      <vt:variant>
        <vt:lpstr>Title</vt:lpstr>
      </vt:variant>
      <vt:variant>
        <vt:i4>1</vt:i4>
      </vt:variant>
    </vt:vector>
  </HeadingPairs>
  <TitlesOfParts>
    <vt:vector size="1" baseType="lpstr">
      <vt:lpstr>ITU WRC-15 Template</vt:lpstr>
    </vt:vector>
  </TitlesOfParts>
  <Manager>General Secretariat - Pool</Manager>
  <Company>International Telecommunication Union (ITU)</Company>
  <LinksUpToDate>false</LinksUpToDate>
  <CharactersWithSpaces>6815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R15-WRC15-C-0028!A23-A1-A5!MSW-E</dc:title>
  <dc:subject>World Radiocommunication Conference - 2015</dc:subject>
  <dc:creator>Documents Proposals Manager (DPM)</dc:creator>
  <cp:keywords>DPM_v5.2015.9.16_prod</cp:keywords>
  <dc:description>Uploaded on 2015.07.06</dc:description>
  <cp:lastModifiedBy>Currie, Jane</cp:lastModifiedBy>
  <cp:revision>4</cp:revision>
  <cp:lastPrinted>2015-09-28T12:20:00Z</cp:lastPrinted>
  <dcterms:created xsi:type="dcterms:W3CDTF">2015-09-28T09:19:00Z</dcterms:created>
  <dcterms:modified xsi:type="dcterms:W3CDTF">2015-09-28T12:21:00Z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