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632" w:type="dxa"/>
        <w:tblLayout w:type="fixed"/>
        <w:tblLook w:val="0000" w:firstRow="0" w:lastRow="0" w:firstColumn="0" w:lastColumn="0" w:noHBand="0" w:noVBand="0"/>
      </w:tblPr>
      <w:tblGrid>
        <w:gridCol w:w="6663"/>
        <w:gridCol w:w="3685"/>
        <w:gridCol w:w="284"/>
      </w:tblGrid>
      <w:tr w:rsidR="0090121B" w:rsidRPr="00083EB1" w:rsidTr="00AB786D">
        <w:trPr>
          <w:gridAfter w:val="1"/>
          <w:wAfter w:w="284" w:type="dxa"/>
          <w:cantSplit/>
        </w:trPr>
        <w:tc>
          <w:tcPr>
            <w:tcW w:w="6663" w:type="dxa"/>
          </w:tcPr>
          <w:p w:rsidR="0090121B" w:rsidRPr="00083EB1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083EB1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083EB1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083EB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685" w:type="dxa"/>
          </w:tcPr>
          <w:p w:rsidR="0090121B" w:rsidRPr="00083EB1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83EB1">
              <w:rPr>
                <w:noProof/>
                <w:lang w:val="en-GB" w:eastAsia="zh-CN"/>
              </w:rPr>
              <w:drawing>
                <wp:inline distT="0" distB="0" distL="0" distR="0" wp14:anchorId="74194014" wp14:editId="07BC2B6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83EB1" w:rsidTr="00AB786D">
        <w:trPr>
          <w:gridAfter w:val="1"/>
          <w:wAfter w:w="284" w:type="dxa"/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90121B" w:rsidRPr="00083EB1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083EB1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90121B" w:rsidRPr="00083EB1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083EB1" w:rsidTr="00AB786D">
        <w:trPr>
          <w:gridAfter w:val="1"/>
          <w:wAfter w:w="284" w:type="dxa"/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90121B" w:rsidRPr="00083EB1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90121B" w:rsidRPr="00083EB1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083EB1" w:rsidTr="00AB786D">
        <w:trPr>
          <w:cantSplit/>
        </w:trPr>
        <w:tc>
          <w:tcPr>
            <w:tcW w:w="6663" w:type="dxa"/>
            <w:shd w:val="clear" w:color="auto" w:fill="auto"/>
          </w:tcPr>
          <w:p w:rsidR="0090121B" w:rsidRPr="00083EB1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83EB1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0121B" w:rsidRPr="00083EB1" w:rsidRDefault="00AE658F" w:rsidP="00AB786D">
            <w:pPr>
              <w:spacing w:before="0"/>
              <w:ind w:left="-57"/>
              <w:rPr>
                <w:rFonts w:ascii="Verdana" w:hAnsi="Verdana"/>
                <w:sz w:val="20"/>
              </w:rPr>
            </w:pPr>
            <w:r w:rsidRPr="00083EB1">
              <w:rPr>
                <w:rFonts w:ascii="Verdana" w:eastAsia="SimSun" w:hAnsi="Verdana" w:cs="Traditional Arabic"/>
                <w:b/>
                <w:sz w:val="20"/>
              </w:rPr>
              <w:t>Revisión 1 al</w:t>
            </w:r>
            <w:r w:rsidR="00A1485B">
              <w:rPr>
                <w:rFonts w:ascii="Verdana" w:eastAsia="SimSun" w:hAnsi="Verdana" w:cs="Traditional Arabic"/>
                <w:b/>
                <w:sz w:val="20"/>
              </w:rPr>
              <w:t xml:space="preserve"> </w:t>
            </w:r>
            <w:r w:rsidR="00AB786D">
              <w:rPr>
                <w:rFonts w:ascii="Verdana" w:eastAsia="SimSun" w:hAnsi="Verdana" w:cs="Traditional Arabic"/>
                <w:b/>
                <w:sz w:val="20"/>
              </w:rPr>
              <w:br/>
            </w:r>
            <w:r w:rsidRPr="00083EB1">
              <w:rPr>
                <w:rFonts w:ascii="Verdana" w:eastAsia="SimSun" w:hAnsi="Verdana" w:cs="Traditional Arabic"/>
                <w:b/>
                <w:sz w:val="20"/>
              </w:rPr>
              <w:t>Documento 28(Add.21)(Add.9)</w:t>
            </w:r>
            <w:r w:rsidR="0090121B" w:rsidRPr="00083EB1">
              <w:rPr>
                <w:rFonts w:ascii="Verdana" w:hAnsi="Verdana"/>
                <w:b/>
                <w:sz w:val="20"/>
              </w:rPr>
              <w:t>-</w:t>
            </w:r>
            <w:r w:rsidRPr="00083EB1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83EB1" w:rsidTr="00AB786D">
        <w:trPr>
          <w:gridAfter w:val="1"/>
          <w:wAfter w:w="284" w:type="dxa"/>
          <w:cantSplit/>
        </w:trPr>
        <w:tc>
          <w:tcPr>
            <w:tcW w:w="6663" w:type="dxa"/>
            <w:shd w:val="clear" w:color="auto" w:fill="auto"/>
          </w:tcPr>
          <w:p w:rsidR="000A5B9A" w:rsidRPr="00083EB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0A5B9A" w:rsidRPr="00083EB1" w:rsidRDefault="000A5B9A" w:rsidP="00AB786D">
            <w:pPr>
              <w:spacing w:before="0"/>
              <w:ind w:left="-57"/>
              <w:rPr>
                <w:rFonts w:ascii="Verdana" w:hAnsi="Verdana"/>
                <w:b/>
                <w:sz w:val="20"/>
              </w:rPr>
            </w:pPr>
            <w:r w:rsidRPr="00083EB1">
              <w:rPr>
                <w:rFonts w:ascii="Verdana" w:hAnsi="Verdana"/>
                <w:b/>
                <w:sz w:val="20"/>
              </w:rPr>
              <w:t>13 de</w:t>
            </w:r>
            <w:bookmarkStart w:id="2" w:name="_GoBack"/>
            <w:bookmarkEnd w:id="2"/>
            <w:r w:rsidRPr="00083EB1">
              <w:rPr>
                <w:rFonts w:ascii="Verdana" w:hAnsi="Verdana"/>
                <w:b/>
                <w:sz w:val="20"/>
              </w:rPr>
              <w:t xml:space="preserve"> octubre de 2015</w:t>
            </w:r>
          </w:p>
        </w:tc>
      </w:tr>
      <w:tr w:rsidR="000A5B9A" w:rsidRPr="00083EB1" w:rsidTr="00AB786D">
        <w:trPr>
          <w:gridAfter w:val="1"/>
          <w:wAfter w:w="284" w:type="dxa"/>
          <w:cantSplit/>
        </w:trPr>
        <w:tc>
          <w:tcPr>
            <w:tcW w:w="6663" w:type="dxa"/>
          </w:tcPr>
          <w:p w:rsidR="000A5B9A" w:rsidRPr="00083EB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5" w:type="dxa"/>
          </w:tcPr>
          <w:p w:rsidR="000A5B9A" w:rsidRPr="00083EB1" w:rsidRDefault="000A5B9A" w:rsidP="00AB786D">
            <w:pPr>
              <w:spacing w:before="0"/>
              <w:ind w:left="-57"/>
              <w:rPr>
                <w:rFonts w:ascii="Verdana" w:hAnsi="Verdana"/>
                <w:b/>
                <w:sz w:val="20"/>
              </w:rPr>
            </w:pPr>
            <w:r w:rsidRPr="00083EB1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83EB1" w:rsidTr="00AB786D">
        <w:trPr>
          <w:gridAfter w:val="1"/>
          <w:wAfter w:w="284" w:type="dxa"/>
          <w:cantSplit/>
        </w:trPr>
        <w:tc>
          <w:tcPr>
            <w:tcW w:w="10348" w:type="dxa"/>
            <w:gridSpan w:val="2"/>
          </w:tcPr>
          <w:p w:rsidR="000A5B9A" w:rsidRPr="00083EB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83EB1" w:rsidTr="00AB786D">
        <w:trPr>
          <w:gridAfter w:val="1"/>
          <w:wAfter w:w="284" w:type="dxa"/>
          <w:cantSplit/>
        </w:trPr>
        <w:tc>
          <w:tcPr>
            <w:tcW w:w="10348" w:type="dxa"/>
            <w:gridSpan w:val="2"/>
          </w:tcPr>
          <w:p w:rsidR="000A5B9A" w:rsidRPr="00083EB1" w:rsidRDefault="000A5B9A" w:rsidP="000A5B9A">
            <w:pPr>
              <w:pStyle w:val="Source"/>
            </w:pPr>
            <w:bookmarkStart w:id="3" w:name="dsource" w:colFirst="0" w:colLast="0"/>
            <w:r w:rsidRPr="00083EB1">
              <w:t>Propuestas Comunes Africanas</w:t>
            </w:r>
          </w:p>
        </w:tc>
      </w:tr>
      <w:tr w:rsidR="000A5B9A" w:rsidRPr="00083EB1" w:rsidTr="00AB786D">
        <w:trPr>
          <w:gridAfter w:val="1"/>
          <w:wAfter w:w="284" w:type="dxa"/>
          <w:cantSplit/>
        </w:trPr>
        <w:tc>
          <w:tcPr>
            <w:tcW w:w="10348" w:type="dxa"/>
            <w:gridSpan w:val="2"/>
          </w:tcPr>
          <w:p w:rsidR="000A5B9A" w:rsidRPr="00083EB1" w:rsidRDefault="005F5417" w:rsidP="000A5B9A">
            <w:pPr>
              <w:pStyle w:val="Title1"/>
            </w:pPr>
            <w:bookmarkStart w:id="4" w:name="dtitle1" w:colFirst="0" w:colLast="0"/>
            <w:bookmarkEnd w:id="3"/>
            <w:r w:rsidRPr="00083EB1">
              <w:t>PROPUESTAS PARA LOS TRABAJOS DE LA CONFERENCIA</w:t>
            </w:r>
          </w:p>
        </w:tc>
      </w:tr>
      <w:tr w:rsidR="000A5B9A" w:rsidRPr="00083EB1" w:rsidTr="00AB786D">
        <w:trPr>
          <w:gridAfter w:val="1"/>
          <w:wAfter w:w="284" w:type="dxa"/>
          <w:cantSplit/>
        </w:trPr>
        <w:tc>
          <w:tcPr>
            <w:tcW w:w="10348" w:type="dxa"/>
            <w:gridSpan w:val="2"/>
          </w:tcPr>
          <w:p w:rsidR="000A5B9A" w:rsidRPr="00083EB1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RPr="00083EB1" w:rsidTr="00AB786D">
        <w:trPr>
          <w:gridAfter w:val="1"/>
          <w:wAfter w:w="284" w:type="dxa"/>
          <w:cantSplit/>
        </w:trPr>
        <w:tc>
          <w:tcPr>
            <w:tcW w:w="10348" w:type="dxa"/>
            <w:gridSpan w:val="2"/>
          </w:tcPr>
          <w:p w:rsidR="000A5B9A" w:rsidRPr="00083EB1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083EB1">
              <w:t>Punto 7(I) del orden del día</w:t>
            </w:r>
          </w:p>
        </w:tc>
      </w:tr>
    </w:tbl>
    <w:bookmarkEnd w:id="6"/>
    <w:p w:rsidR="001C0E40" w:rsidRPr="00083EB1" w:rsidRDefault="0061490D" w:rsidP="00512F4E">
      <w:r w:rsidRPr="00083EB1">
        <w:t>7</w:t>
      </w:r>
      <w:r w:rsidRPr="00083EB1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083EB1">
        <w:rPr>
          <w:b/>
          <w:bCs/>
        </w:rPr>
        <w:t>86 (Rev.CMR-07)</w:t>
      </w:r>
      <w:r w:rsidRPr="00083EB1">
        <w:t>, para facilitar la utilización racional, eficaz y económica de las frecuencias radioeléctricas y toda órbita asociada, incluida la órbita de los satélites geoestacionarios;</w:t>
      </w:r>
    </w:p>
    <w:p w:rsidR="001C0E40" w:rsidRPr="00083EB1" w:rsidRDefault="0061490D" w:rsidP="002478DC">
      <w:r w:rsidRPr="00083EB1">
        <w:t xml:space="preserve">7(I) </w:t>
      </w:r>
      <w:r w:rsidRPr="00083EB1">
        <w:tab/>
        <w:t>Tema I – Posible método para resolver el problema de la notificación excesiva de redes de satélite</w:t>
      </w:r>
      <w:r w:rsidR="00A1485B">
        <w:t>.</w:t>
      </w:r>
    </w:p>
    <w:p w:rsidR="00363A65" w:rsidRPr="00083EB1" w:rsidRDefault="00363A65" w:rsidP="009144C9"/>
    <w:p w:rsidR="008750A8" w:rsidRPr="00083EB1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83EB1">
        <w:br w:type="page"/>
      </w:r>
    </w:p>
    <w:p w:rsidR="00745EAE" w:rsidRPr="00083EB1" w:rsidRDefault="00EB662B" w:rsidP="00745EAE">
      <w:pPr>
        <w:rPr>
          <w:ins w:id="7" w:author="Capdessus, Isabelle" w:date="2015-10-16T16:57:00Z"/>
          <w:b/>
          <w:highlight w:val="cyan"/>
        </w:rPr>
      </w:pPr>
      <w:r w:rsidRPr="00083EB1">
        <w:rPr>
          <w:b/>
        </w:rPr>
        <w:lastRenderedPageBreak/>
        <w:t>Tema</w:t>
      </w:r>
      <w:r w:rsidR="00745EAE" w:rsidRPr="00083EB1">
        <w:rPr>
          <w:b/>
        </w:rPr>
        <w:t xml:space="preserve"> I1 – </w:t>
      </w:r>
      <w:r w:rsidR="00745EAE" w:rsidRPr="00083EB1">
        <w:rPr>
          <w:bCs/>
        </w:rPr>
        <w:t xml:space="preserve">Métodos </w:t>
      </w:r>
      <w:r w:rsidR="005451A4" w:rsidRPr="00083EB1">
        <w:rPr>
          <w:bCs/>
        </w:rPr>
        <w:t xml:space="preserve">para </w:t>
      </w:r>
      <w:r w:rsidR="00745EAE" w:rsidRPr="00083EB1">
        <w:rPr>
          <w:bCs/>
        </w:rPr>
        <w:t xml:space="preserve">abordar </w:t>
      </w:r>
      <w:r w:rsidR="00745EAE" w:rsidRPr="00083EB1">
        <w:rPr>
          <w:bCs/>
          <w:color w:val="000000"/>
        </w:rPr>
        <w:t>la notificación</w:t>
      </w:r>
      <w:r w:rsidR="00745EAE" w:rsidRPr="00083EB1">
        <w:rPr>
          <w:color w:val="000000"/>
        </w:rPr>
        <w:t xml:space="preserve"> excesiva de solicitudes de coordinación (CR/C).</w:t>
      </w:r>
    </w:p>
    <w:p w:rsidR="00063679" w:rsidRPr="00083EB1" w:rsidRDefault="0061490D">
      <w:pPr>
        <w:pStyle w:val="Proposal"/>
      </w:pPr>
      <w:r w:rsidRPr="00083EB1">
        <w:rPr>
          <w:u w:val="single"/>
        </w:rPr>
        <w:t>NOC</w:t>
      </w:r>
      <w:r w:rsidRPr="00083EB1">
        <w:tab/>
        <w:t>AFCP/28A21A9/1</w:t>
      </w:r>
    </w:p>
    <w:p w:rsidR="0061490D" w:rsidRPr="00083EB1" w:rsidRDefault="0061490D" w:rsidP="0061490D">
      <w:pPr>
        <w:pStyle w:val="Title1"/>
      </w:pPr>
      <w:r w:rsidRPr="00083EB1">
        <w:t>reglamento de radiocomunicaciones</w:t>
      </w:r>
    </w:p>
    <w:p w:rsidR="00063679" w:rsidRPr="00083EB1" w:rsidRDefault="0061490D" w:rsidP="005451A4">
      <w:pPr>
        <w:pStyle w:val="Reasons"/>
      </w:pPr>
      <w:r w:rsidRPr="00083EB1">
        <w:rPr>
          <w:b/>
        </w:rPr>
        <w:t>Motivos:</w:t>
      </w:r>
      <w:r w:rsidRPr="00083EB1">
        <w:tab/>
      </w:r>
      <w:r w:rsidR="00745EAE" w:rsidRPr="00083EB1">
        <w:t xml:space="preserve">No complicar más la reglamentación de los satélites: </w:t>
      </w:r>
      <w:r w:rsidR="00805F98" w:rsidRPr="00083EB1">
        <w:t xml:space="preserve">la </w:t>
      </w:r>
      <w:r w:rsidR="001E0732" w:rsidRPr="00083EB1">
        <w:t>incorporación</w:t>
      </w:r>
      <w:r w:rsidR="00805F98" w:rsidRPr="00083EB1">
        <w:t xml:space="preserve"> de una nueva fase de notificación inicial no </w:t>
      </w:r>
      <w:r w:rsidR="001E0732" w:rsidRPr="00083EB1">
        <w:t>llevará a</w:t>
      </w:r>
      <w:r w:rsidR="00805F98" w:rsidRPr="00083EB1">
        <w:t xml:space="preserve"> una reducción del número de futuras notificaciones, por cuanto no </w:t>
      </w:r>
      <w:r w:rsidR="00745EAE" w:rsidRPr="00083EB1">
        <w:t xml:space="preserve">hay </w:t>
      </w:r>
      <w:r w:rsidR="005451A4" w:rsidRPr="00083EB1">
        <w:t>ningún nuevo</w:t>
      </w:r>
      <w:r w:rsidR="00745EAE" w:rsidRPr="00083EB1">
        <w:t xml:space="preserve"> </w:t>
      </w:r>
      <w:r w:rsidR="005451A4" w:rsidRPr="00083EB1">
        <w:t>requisito</w:t>
      </w:r>
      <w:r w:rsidR="00745EAE" w:rsidRPr="00083EB1">
        <w:t xml:space="preserve"> o </w:t>
      </w:r>
      <w:r w:rsidR="005451A4" w:rsidRPr="00083EB1">
        <w:t>incentivo</w:t>
      </w:r>
      <w:r w:rsidR="00745EAE" w:rsidRPr="00083EB1">
        <w:t xml:space="preserve"> </w:t>
      </w:r>
      <w:r w:rsidR="005451A4" w:rsidRPr="00083EB1">
        <w:t xml:space="preserve">en los métodos </w:t>
      </w:r>
      <w:r w:rsidR="00745EAE" w:rsidRPr="00083EB1">
        <w:t xml:space="preserve">que </w:t>
      </w:r>
      <w:r w:rsidR="005451A4" w:rsidRPr="00083EB1">
        <w:t>empuje</w:t>
      </w:r>
      <w:r w:rsidR="00745EAE" w:rsidRPr="00083EB1">
        <w:t xml:space="preserve"> a</w:t>
      </w:r>
      <w:r w:rsidR="00805F98" w:rsidRPr="00083EB1">
        <w:t xml:space="preserve"> las administraciones </w:t>
      </w:r>
      <w:r w:rsidR="001E0732" w:rsidRPr="00083EB1">
        <w:t>a eliminar</w:t>
      </w:r>
      <w:r w:rsidR="00745EAE" w:rsidRPr="00083EB1">
        <w:t xml:space="preserve"> las </w:t>
      </w:r>
      <w:r w:rsidR="00805F98" w:rsidRPr="00083EB1">
        <w:t xml:space="preserve">notificaciones de redes de satélite que están en trámite de coordinación y cuyas tasas de recuperación de costes ya han abonado. </w:t>
      </w:r>
      <w:r w:rsidR="001E0732" w:rsidRPr="00083EB1">
        <w:t>La administración puede rellenar fácilmente l</w:t>
      </w:r>
      <w:r w:rsidR="00805F98" w:rsidRPr="00083EB1">
        <w:t xml:space="preserve">a información que se pide en los nuevos formularios de notificación inicial, pero añadir </w:t>
      </w:r>
      <w:r w:rsidR="001E0732" w:rsidRPr="00083EB1">
        <w:t>una</w:t>
      </w:r>
      <w:r w:rsidR="00805F98" w:rsidRPr="00083EB1">
        <w:t xml:space="preserve"> nueva etapa aumentaría la carga administrativa tanto </w:t>
      </w:r>
      <w:r w:rsidR="005451A4" w:rsidRPr="00083EB1">
        <w:t>para</w:t>
      </w:r>
      <w:r w:rsidR="00805F98" w:rsidRPr="00083EB1">
        <w:t xml:space="preserve"> las administraciones como </w:t>
      </w:r>
      <w:r w:rsidR="005451A4" w:rsidRPr="00083EB1">
        <w:t>para</w:t>
      </w:r>
      <w:r w:rsidR="00805F98" w:rsidRPr="00083EB1">
        <w:t xml:space="preserve"> la BR. Por último, la BR necesitará </w:t>
      </w:r>
      <w:r w:rsidR="001E0732" w:rsidRPr="00083EB1">
        <w:t xml:space="preserve">utilizar </w:t>
      </w:r>
      <w:r w:rsidR="00805F98" w:rsidRPr="00083EB1">
        <w:t xml:space="preserve">más recursos para tramitar </w:t>
      </w:r>
      <w:r w:rsidR="001E0732" w:rsidRPr="00083EB1">
        <w:t>cualquier etapa adicional</w:t>
      </w:r>
      <w:r w:rsidR="00805F98" w:rsidRPr="00083EB1">
        <w:t xml:space="preserve">, </w:t>
      </w:r>
      <w:r w:rsidR="001E0732" w:rsidRPr="00083EB1">
        <w:t xml:space="preserve">un </w:t>
      </w:r>
      <w:r w:rsidR="00805F98" w:rsidRPr="00083EB1">
        <w:t xml:space="preserve">coste </w:t>
      </w:r>
      <w:r w:rsidR="001E0732" w:rsidRPr="00083EB1">
        <w:t xml:space="preserve">que </w:t>
      </w:r>
      <w:r w:rsidR="00805F98" w:rsidRPr="00083EB1">
        <w:t>afectar</w:t>
      </w:r>
      <w:r w:rsidR="001E0732" w:rsidRPr="00083EB1">
        <w:t>ía</w:t>
      </w:r>
      <w:r w:rsidR="00805F98" w:rsidRPr="00083EB1">
        <w:t xml:space="preserve"> </w:t>
      </w:r>
      <w:r w:rsidR="001E0732" w:rsidRPr="00083EB1">
        <w:t xml:space="preserve">tanto </w:t>
      </w:r>
      <w:r w:rsidR="00805F98" w:rsidRPr="00083EB1">
        <w:t xml:space="preserve">al presupuesto de la administración notificante </w:t>
      </w:r>
      <w:r w:rsidR="001E0732" w:rsidRPr="00083EB1">
        <w:t>como al</w:t>
      </w:r>
      <w:r w:rsidR="00805F98" w:rsidRPr="00083EB1">
        <w:t xml:space="preserve"> de la BR. </w:t>
      </w:r>
    </w:p>
    <w:p w:rsidR="00805F98" w:rsidRPr="00083EB1" w:rsidRDefault="00EB662B" w:rsidP="00083EB1">
      <w:r w:rsidRPr="00083EB1">
        <w:rPr>
          <w:b/>
        </w:rPr>
        <w:t>Tema</w:t>
      </w:r>
      <w:r w:rsidR="0061490D" w:rsidRPr="00083EB1">
        <w:rPr>
          <w:b/>
        </w:rPr>
        <w:t xml:space="preserve"> I2 – </w:t>
      </w:r>
      <w:r w:rsidR="00805F98" w:rsidRPr="00083EB1">
        <w:t>Métodos para resolver el problema de la notificación excesiva de información de publicación anticipada (API)</w:t>
      </w:r>
    </w:p>
    <w:p w:rsidR="00F008F3" w:rsidRPr="00083EB1" w:rsidRDefault="0061490D" w:rsidP="00D44B91">
      <w:pPr>
        <w:pStyle w:val="ArtNo"/>
      </w:pPr>
      <w:r w:rsidRPr="00083EB1">
        <w:t xml:space="preserve">ARTÍCULO </w:t>
      </w:r>
      <w:r w:rsidRPr="00083EB1">
        <w:rPr>
          <w:rStyle w:val="href"/>
        </w:rPr>
        <w:t>9</w:t>
      </w:r>
    </w:p>
    <w:p w:rsidR="00F008F3" w:rsidRPr="00083EB1" w:rsidRDefault="0061490D" w:rsidP="00835B7C">
      <w:pPr>
        <w:pStyle w:val="Arttitle"/>
        <w:rPr>
          <w:b w:val="0"/>
          <w:bCs/>
          <w:sz w:val="16"/>
        </w:rPr>
      </w:pPr>
      <w:r w:rsidRPr="00083EB1">
        <w:t xml:space="preserve">Procedimiento para efectuar la coordinación u obtener el acuerdo </w:t>
      </w:r>
      <w:r w:rsidRPr="00083EB1">
        <w:br/>
        <w:t>de otras administraciones</w:t>
      </w:r>
      <w:r w:rsidRPr="00083EB1">
        <w:rPr>
          <w:rStyle w:val="FootnoteReference"/>
          <w:bCs/>
          <w:szCs w:val="18"/>
        </w:rPr>
        <w:t>1</w:t>
      </w:r>
      <w:r w:rsidRPr="00083EB1">
        <w:rPr>
          <w:bCs/>
          <w:position w:val="6"/>
          <w:sz w:val="18"/>
          <w:szCs w:val="18"/>
        </w:rPr>
        <w:t xml:space="preserve">, </w:t>
      </w:r>
      <w:r w:rsidRPr="00083EB1">
        <w:rPr>
          <w:rStyle w:val="FootnoteReference"/>
          <w:bCs/>
          <w:szCs w:val="18"/>
        </w:rPr>
        <w:t>2</w:t>
      </w:r>
      <w:r w:rsidRPr="00083EB1">
        <w:rPr>
          <w:bCs/>
          <w:position w:val="6"/>
          <w:sz w:val="18"/>
          <w:szCs w:val="18"/>
        </w:rPr>
        <w:t xml:space="preserve">, </w:t>
      </w:r>
      <w:r w:rsidRPr="00083EB1">
        <w:rPr>
          <w:rStyle w:val="FootnoteReference"/>
          <w:bCs/>
          <w:szCs w:val="18"/>
        </w:rPr>
        <w:t>3,</w:t>
      </w:r>
      <w:r w:rsidRPr="00083EB1">
        <w:rPr>
          <w:bCs/>
          <w:position w:val="6"/>
          <w:sz w:val="18"/>
          <w:szCs w:val="18"/>
        </w:rPr>
        <w:t xml:space="preserve"> </w:t>
      </w:r>
      <w:r w:rsidRPr="00083EB1">
        <w:rPr>
          <w:rStyle w:val="FootnoteReference"/>
          <w:bCs/>
          <w:szCs w:val="18"/>
        </w:rPr>
        <w:t>4</w:t>
      </w:r>
      <w:r w:rsidRPr="00083EB1">
        <w:rPr>
          <w:bCs/>
          <w:position w:val="6"/>
          <w:sz w:val="18"/>
          <w:szCs w:val="18"/>
        </w:rPr>
        <w:t xml:space="preserve">, </w:t>
      </w:r>
      <w:r w:rsidRPr="00083EB1">
        <w:rPr>
          <w:rStyle w:val="FootnoteReference"/>
          <w:bCs/>
          <w:szCs w:val="18"/>
        </w:rPr>
        <w:t>5</w:t>
      </w:r>
      <w:r w:rsidRPr="00083EB1">
        <w:rPr>
          <w:bCs/>
          <w:position w:val="6"/>
          <w:sz w:val="18"/>
          <w:szCs w:val="18"/>
        </w:rPr>
        <w:t xml:space="preserve">, </w:t>
      </w:r>
      <w:r w:rsidRPr="00083EB1">
        <w:rPr>
          <w:rStyle w:val="FootnoteReference"/>
          <w:bCs/>
          <w:szCs w:val="18"/>
        </w:rPr>
        <w:t>6</w:t>
      </w:r>
      <w:r w:rsidRPr="00083EB1">
        <w:rPr>
          <w:bCs/>
          <w:position w:val="6"/>
          <w:sz w:val="18"/>
          <w:szCs w:val="18"/>
        </w:rPr>
        <w:t xml:space="preserve">, </w:t>
      </w:r>
      <w:r w:rsidRPr="00083EB1">
        <w:rPr>
          <w:rStyle w:val="FootnoteReference"/>
          <w:bCs/>
          <w:szCs w:val="18"/>
        </w:rPr>
        <w:t>7</w:t>
      </w:r>
      <w:r w:rsidRPr="00083EB1">
        <w:rPr>
          <w:bCs/>
          <w:position w:val="6"/>
          <w:sz w:val="18"/>
          <w:szCs w:val="18"/>
        </w:rPr>
        <w:t xml:space="preserve">, </w:t>
      </w:r>
      <w:r w:rsidRPr="00083EB1">
        <w:rPr>
          <w:rStyle w:val="FootnoteReference"/>
          <w:bCs/>
          <w:szCs w:val="18"/>
        </w:rPr>
        <w:t>8, 8</w:t>
      </w:r>
      <w:r w:rsidRPr="00083EB1">
        <w:rPr>
          <w:rStyle w:val="FootnoteReference"/>
          <w:bCs/>
          <w:i/>
          <w:iCs/>
          <w:szCs w:val="18"/>
        </w:rPr>
        <w:t>bis</w:t>
      </w:r>
      <w:r w:rsidRPr="00083EB1">
        <w:rPr>
          <w:b w:val="0"/>
          <w:sz w:val="16"/>
          <w:szCs w:val="16"/>
        </w:rPr>
        <w:t>     </w:t>
      </w:r>
      <w:r w:rsidRPr="00083EB1">
        <w:rPr>
          <w:b w:val="0"/>
          <w:sz w:val="16"/>
        </w:rPr>
        <w:t>(CMR-12)</w:t>
      </w:r>
    </w:p>
    <w:p w:rsidR="00F008F3" w:rsidRPr="00083EB1" w:rsidRDefault="0061490D" w:rsidP="00404830">
      <w:pPr>
        <w:pStyle w:val="Section1"/>
      </w:pPr>
      <w:r w:rsidRPr="00083EB1">
        <w:t>Sección I – Publicación anticipada de la información relativa</w:t>
      </w:r>
      <w:r w:rsidRPr="00083EB1">
        <w:br/>
        <w:t>a las redes o sistemas de satélites</w:t>
      </w:r>
    </w:p>
    <w:p w:rsidR="00F008F3" w:rsidRPr="00083EB1" w:rsidRDefault="0061490D" w:rsidP="00D95185">
      <w:pPr>
        <w:pStyle w:val="Section2"/>
        <w:rPr>
          <w:bCs/>
          <w:iCs/>
        </w:rPr>
      </w:pPr>
      <w:r w:rsidRPr="00083EB1">
        <w:rPr>
          <w:bCs/>
          <w:iCs/>
        </w:rPr>
        <w:t>Generalidades</w:t>
      </w:r>
    </w:p>
    <w:p w:rsidR="00063679" w:rsidRPr="00083EB1" w:rsidRDefault="0061490D">
      <w:pPr>
        <w:pStyle w:val="Proposal"/>
      </w:pPr>
      <w:r w:rsidRPr="00083EB1">
        <w:t>MOD</w:t>
      </w:r>
      <w:r w:rsidRPr="00083EB1">
        <w:tab/>
        <w:t>AFCP/28A21A9/2</w:t>
      </w:r>
    </w:p>
    <w:p w:rsidR="001D34FF" w:rsidRPr="00083EB1" w:rsidRDefault="0061490D" w:rsidP="0061490D">
      <w:pPr>
        <w:pStyle w:val="Normalaftertitle"/>
      </w:pPr>
      <w:r w:rsidRPr="00083EB1">
        <w:rPr>
          <w:rStyle w:val="Artdef"/>
        </w:rPr>
        <w:t>9.1</w:t>
      </w:r>
      <w:r w:rsidRPr="00083EB1">
        <w:rPr>
          <w:rStyle w:val="Artdef"/>
        </w:rPr>
        <w:tab/>
      </w:r>
      <w:r w:rsidRPr="00083EB1">
        <w:tab/>
        <w:t>Antes de iniciar cualquiera de las medidas previstas en este Artículo o en el Artículo </w:t>
      </w:r>
      <w:r w:rsidRPr="00083EB1">
        <w:rPr>
          <w:rStyle w:val="Artref"/>
          <w:b/>
          <w:bCs/>
        </w:rPr>
        <w:t>11</w:t>
      </w:r>
      <w:r w:rsidRPr="00083EB1">
        <w:t xml:space="preserve"> con respecto a las asignaciones de frecuencia a una red o sistema de satélites, la administración interesada, o una</w:t>
      </w:r>
      <w:r w:rsidRPr="00083EB1">
        <w:rPr>
          <w:rStyle w:val="FootnoteReference"/>
        </w:rPr>
        <w:t>9</w:t>
      </w:r>
      <w:r w:rsidRPr="00083EB1">
        <w:t xml:space="preserve"> que actúe en nombre de un grupo de administraciones nominadas, enviará a la Oficina, con anterioridad al procedimiento de coordinación descrito en la Sección II del Artículo </w:t>
      </w:r>
      <w:r w:rsidRPr="00083EB1">
        <w:rPr>
          <w:rStyle w:val="Artref"/>
          <w:b/>
        </w:rPr>
        <w:t>9</w:t>
      </w:r>
      <w:r w:rsidRPr="00083EB1">
        <w:t>, cuando sea aplicable, una descripción general de la red o sistema para su publicación anticipada en la Circular Internacional de Información sobre Frecuencias (BR IFIC) con una antelación no superior a siete años y preferiblemente no inferior a dos a la fecha prevista de la puesta en servicio de la red o del sistema (véase también el número </w:t>
      </w:r>
      <w:r w:rsidRPr="00083EB1">
        <w:rPr>
          <w:rStyle w:val="Artref"/>
          <w:b/>
        </w:rPr>
        <w:t>11.44</w:t>
      </w:r>
      <w:r w:rsidRPr="00083EB1">
        <w:t>). Las características que deben proporcionarse a estos efectos figuran en el Apéndice </w:t>
      </w:r>
      <w:r w:rsidRPr="00083EB1">
        <w:rPr>
          <w:rStyle w:val="Appref"/>
          <w:b/>
          <w:bCs/>
        </w:rPr>
        <w:t>4</w:t>
      </w:r>
      <w:r w:rsidRPr="00083EB1">
        <w:t>. La información de coordinación o notificación, puede notificarse igualmente a la Oficina al mismo tiempo</w:t>
      </w:r>
      <w:del w:id="8" w:author="Gonzalez, Carlos" w:date="2015-10-19T19:36:00Z">
        <w:r w:rsidRPr="00083EB1" w:rsidDel="00457E5D">
          <w:delText>; se considerará recibida por la Oficina no antes de seis meses a partir de la fecha de recepción de la información para publicación anticipada cuando es necesaria la coordinación en virtud de lo dispuesto en la Sección II del Artículo </w:delText>
        </w:r>
        <w:r w:rsidRPr="00083EB1" w:rsidDel="00457E5D">
          <w:rPr>
            <w:rStyle w:val="Artref"/>
            <w:b/>
          </w:rPr>
          <w:delText>9</w:delText>
        </w:r>
      </w:del>
      <w:r w:rsidRPr="00083EB1">
        <w:t>. Cuando no es necesaria dicha coordinación, la notificación se considerará recibida por la Oficina no antes de seis meses a partir de la fecha de publicación de la información para publicación anticipada.</w:t>
      </w:r>
      <w:r w:rsidRPr="00083EB1">
        <w:rPr>
          <w:sz w:val="16"/>
        </w:rPr>
        <w:t>     (CMR-</w:t>
      </w:r>
      <w:del w:id="9" w:author="Spanish" w:date="2015-10-19T19:43:00Z">
        <w:r w:rsidRPr="00083EB1" w:rsidDel="0061490D">
          <w:rPr>
            <w:sz w:val="16"/>
          </w:rPr>
          <w:delText>03</w:delText>
        </w:r>
      </w:del>
      <w:ins w:id="10" w:author="Spanish" w:date="2015-10-19T19:43:00Z">
        <w:r w:rsidRPr="00083EB1">
          <w:rPr>
            <w:sz w:val="16"/>
          </w:rPr>
          <w:t>15</w:t>
        </w:r>
      </w:ins>
      <w:r w:rsidRPr="00083EB1">
        <w:rPr>
          <w:sz w:val="16"/>
        </w:rPr>
        <w:t>)</w:t>
      </w:r>
    </w:p>
    <w:p w:rsidR="00063679" w:rsidRPr="00083EB1" w:rsidRDefault="0061490D" w:rsidP="00A1485B">
      <w:pPr>
        <w:pStyle w:val="Reasons"/>
      </w:pPr>
      <w:r w:rsidRPr="00083EB1">
        <w:rPr>
          <w:b/>
        </w:rPr>
        <w:t>Motivos:</w:t>
      </w:r>
      <w:r w:rsidRPr="00083EB1">
        <w:tab/>
      </w:r>
      <w:r w:rsidR="00457E5D" w:rsidRPr="00083EB1">
        <w:t>Para suprimir el periodo de seis meses entre la fecha de recepción de API y la fecha de aceptabilidad de la correspondiente solicitud de coordinación prevista en la Sección II del Artículo</w:t>
      </w:r>
      <w:r w:rsidR="00A1485B">
        <w:t> </w:t>
      </w:r>
      <w:r w:rsidR="00457E5D" w:rsidRPr="00083EB1">
        <w:t>9 del RR, a fin de reducir la parte dedicada a la publicación de secciones especiales en el proceso de coordinación.</w:t>
      </w:r>
    </w:p>
    <w:p w:rsidR="001D34FF" w:rsidRPr="00083EB1" w:rsidRDefault="0061490D" w:rsidP="00404830">
      <w:pPr>
        <w:pStyle w:val="Subsection1"/>
      </w:pPr>
      <w:r w:rsidRPr="00083EB1">
        <w:t>Subsección IB – Publicación anticipada de la información relativa</w:t>
      </w:r>
      <w:r w:rsidRPr="00083EB1">
        <w:br/>
        <w:t>a las redes o sistemas de satélites que están sujetos a coordinación</w:t>
      </w:r>
      <w:r w:rsidRPr="00083EB1">
        <w:br/>
        <w:t>con arreglo al procedimiento de la Sección II</w:t>
      </w:r>
    </w:p>
    <w:p w:rsidR="00063679" w:rsidRPr="00083EB1" w:rsidRDefault="0061490D">
      <w:pPr>
        <w:pStyle w:val="Proposal"/>
      </w:pPr>
      <w:r w:rsidRPr="00083EB1">
        <w:t>MOD</w:t>
      </w:r>
      <w:r w:rsidRPr="00083EB1">
        <w:tab/>
        <w:t>AFCP/28A21A9/3</w:t>
      </w:r>
    </w:p>
    <w:p w:rsidR="003441E7" w:rsidRPr="00083EB1" w:rsidRDefault="0061490D">
      <w:pPr>
        <w:pStyle w:val="Normalaftertitle"/>
        <w:rPr>
          <w:sz w:val="16"/>
        </w:rPr>
      </w:pPr>
      <w:r w:rsidRPr="00083EB1">
        <w:rPr>
          <w:rStyle w:val="Artdef"/>
        </w:rPr>
        <w:t>9.5B</w:t>
      </w:r>
      <w:r w:rsidRPr="00083EB1">
        <w:rPr>
          <w:b/>
          <w:bCs/>
        </w:rPr>
        <w:tab/>
      </w:r>
      <w:r w:rsidRPr="00083EB1">
        <w:rPr>
          <w:b/>
          <w:bCs/>
        </w:rPr>
        <w:tab/>
      </w:r>
      <w:r w:rsidRPr="00083EB1">
        <w:t>Si al recibir una BR IFIC que contiene información publicada de conformidad con el número </w:t>
      </w:r>
      <w:r w:rsidRPr="00083EB1">
        <w:rPr>
          <w:rStyle w:val="Artref"/>
          <w:b/>
          <w:bCs/>
        </w:rPr>
        <w:t>9.2B</w:t>
      </w:r>
      <w:r w:rsidRPr="00083EB1">
        <w:t xml:space="preserve"> una administración considera que sus sistemas o redes de satélites o estaciones terrenales</w:t>
      </w:r>
      <w:r w:rsidRPr="00083EB1">
        <w:rPr>
          <w:rStyle w:val="FootnoteReference"/>
        </w:rPr>
        <w:t>11</w:t>
      </w:r>
      <w:r w:rsidRPr="00083EB1">
        <w:t xml:space="preserve"> existentes o planificados se verán afectados, podrá comunicar sus comentarios a la administración que haya publicado la información, con el fin de que esta última pueda tomar dichos comentarios en consideración</w:t>
      </w:r>
      <w:del w:id="11" w:author="Spanish" w:date="2015-10-19T19:44:00Z">
        <w:r w:rsidRPr="00083EB1" w:rsidDel="0061490D">
          <w:delText xml:space="preserve"> al iniciar el procedimiento de coordinación</w:delText>
        </w:r>
      </w:del>
      <w:r w:rsidRPr="00083EB1">
        <w:t>. Podrá enviarse también a la Oficina copia de dichos comentarios. A continuación, ambas administraciones intentarán cooperar conjuntamente para resolver cualquier dificultad que se suscite, con la asistencia de la Oficina, si lo solicita cualquiera de las partes, e intercambiarán la información adicional pertinente de que pueda disponerse.</w:t>
      </w:r>
      <w:r w:rsidRPr="00083EB1">
        <w:rPr>
          <w:sz w:val="16"/>
        </w:rPr>
        <w:t>     (CMR</w:t>
      </w:r>
      <w:r w:rsidRPr="00083EB1">
        <w:rPr>
          <w:sz w:val="16"/>
        </w:rPr>
        <w:noBreakHyphen/>
      </w:r>
      <w:del w:id="12" w:author="Spanish" w:date="2015-10-19T19:44:00Z">
        <w:r w:rsidRPr="00083EB1" w:rsidDel="0061490D">
          <w:rPr>
            <w:sz w:val="16"/>
          </w:rPr>
          <w:delText>2000</w:delText>
        </w:r>
      </w:del>
      <w:ins w:id="13" w:author="Spanish" w:date="2015-10-19T19:44:00Z">
        <w:r w:rsidRPr="00083EB1">
          <w:rPr>
            <w:sz w:val="16"/>
          </w:rPr>
          <w:t>15</w:t>
        </w:r>
      </w:ins>
      <w:r w:rsidRPr="00083EB1">
        <w:rPr>
          <w:sz w:val="16"/>
        </w:rPr>
        <w:t>)</w:t>
      </w:r>
    </w:p>
    <w:p w:rsidR="00063679" w:rsidRPr="00083EB1" w:rsidRDefault="0061490D">
      <w:pPr>
        <w:pStyle w:val="Reasons"/>
      </w:pPr>
      <w:r w:rsidRPr="00083EB1">
        <w:rPr>
          <w:b/>
        </w:rPr>
        <w:t>Motivos:</w:t>
      </w:r>
      <w:r w:rsidRPr="00083EB1">
        <w:tab/>
        <w:t>Como consecuencia de la supresión del periodo de seis meses, ya que el procedimiento de coordinación puede iniciarse antes de la publicación anticipada.</w:t>
      </w:r>
    </w:p>
    <w:p w:rsidR="0061490D" w:rsidRPr="00083EB1" w:rsidRDefault="0061490D" w:rsidP="00083EB1"/>
    <w:p w:rsidR="0061490D" w:rsidRPr="00083EB1" w:rsidRDefault="0061490D">
      <w:pPr>
        <w:jc w:val="center"/>
      </w:pPr>
      <w:r w:rsidRPr="00083EB1">
        <w:t>______________</w:t>
      </w:r>
    </w:p>
    <w:sectPr w:rsidR="0061490D" w:rsidRPr="00083EB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B786D">
      <w:rPr>
        <w:noProof/>
        <w:lang w:val="en-US"/>
      </w:rPr>
      <w:t>P:\ESP\ITU-R\CONF-R\CMR15\000\028ADD21ADD09REV1S.docx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786D">
      <w:rPr>
        <w:noProof/>
      </w:rPr>
      <w:t>20.10.15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786D">
      <w:rPr>
        <w:noProof/>
      </w:rPr>
      <w:t>20.10.15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9272A0" w:rsidRDefault="009272A0" w:rsidP="009272A0">
    <w:pPr>
      <w:pStyle w:val="Footer"/>
      <w:rPr>
        <w:lang w:val="en-US"/>
      </w:rPr>
    </w:pPr>
    <w:r>
      <w:fldChar w:fldCharType="begin"/>
    </w:r>
    <w:r w:rsidRPr="009272A0">
      <w:rPr>
        <w:lang w:val="en-US"/>
      </w:rPr>
      <w:instrText xml:space="preserve"> FILENAME \p  \* MERGEFORMAT </w:instrText>
    </w:r>
    <w:r>
      <w:fldChar w:fldCharType="separate"/>
    </w:r>
    <w:r w:rsidR="00AB786D">
      <w:rPr>
        <w:lang w:val="en-US"/>
      </w:rPr>
      <w:t>P:\ESP\ITU-R\CONF-R\CMR15\000\028ADD21ADD09REV1S.docx</w:t>
    </w:r>
    <w:r>
      <w:fldChar w:fldCharType="end"/>
    </w:r>
    <w:r w:rsidRPr="009272A0">
      <w:rPr>
        <w:lang w:val="en-US"/>
      </w:rPr>
      <w:t xml:space="preserve"> (</w:t>
    </w:r>
    <w:r>
      <w:rPr>
        <w:lang w:val="en-US"/>
      </w:rPr>
      <w:t>388256</w:t>
    </w:r>
    <w:r w:rsidRPr="009272A0">
      <w:rPr>
        <w:lang w:val="en-US"/>
      </w:rPr>
      <w:t>)</w:t>
    </w:r>
    <w:r w:rsidRPr="009272A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786D">
      <w:t>20.10.15</w:t>
    </w:r>
    <w:r>
      <w:fldChar w:fldCharType="end"/>
    </w:r>
    <w:r w:rsidRPr="009272A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786D">
      <w:t>20.10.15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9272A0" w:rsidRDefault="009272A0" w:rsidP="009272A0">
    <w:pPr>
      <w:pStyle w:val="Footer"/>
      <w:rPr>
        <w:lang w:val="en-US"/>
      </w:rPr>
    </w:pPr>
    <w:r>
      <w:fldChar w:fldCharType="begin"/>
    </w:r>
    <w:r w:rsidRPr="009272A0">
      <w:rPr>
        <w:lang w:val="en-US"/>
      </w:rPr>
      <w:instrText xml:space="preserve"> FILENAME \p  \* MERGEFORMAT </w:instrText>
    </w:r>
    <w:r>
      <w:fldChar w:fldCharType="separate"/>
    </w:r>
    <w:r w:rsidR="00AB786D">
      <w:rPr>
        <w:lang w:val="en-US"/>
      </w:rPr>
      <w:t>P:\ESP\ITU-R\CONF-R\CMR15\000\028ADD21ADD09REV1S.docx</w:t>
    </w:r>
    <w:r>
      <w:fldChar w:fldCharType="end"/>
    </w:r>
    <w:r w:rsidRPr="009272A0">
      <w:rPr>
        <w:lang w:val="en-US"/>
      </w:rPr>
      <w:t xml:space="preserve"> (</w:t>
    </w:r>
    <w:r>
      <w:rPr>
        <w:lang w:val="en-US"/>
      </w:rPr>
      <w:t>388256</w:t>
    </w:r>
    <w:r w:rsidRPr="009272A0">
      <w:rPr>
        <w:lang w:val="en-US"/>
      </w:rPr>
      <w:t>)</w:t>
    </w:r>
    <w:r w:rsidRPr="009272A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786D">
      <w:t>20.10.15</w:t>
    </w:r>
    <w:r>
      <w:fldChar w:fldCharType="end"/>
    </w:r>
    <w:r w:rsidRPr="009272A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786D">
      <w:t>20.10.15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786D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28(Add.21)(Add.9)(Rev.1)-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  <w15:person w15:author="Gonzalez, Carlos">
    <w15:presenceInfo w15:providerId="AD" w15:userId="S-1-5-21-8740799-900759487-1415713722-48773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63679"/>
    <w:rsid w:val="00083EB1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B57CA"/>
    <w:rsid w:val="001C41FA"/>
    <w:rsid w:val="001E0732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57E5D"/>
    <w:rsid w:val="004B124A"/>
    <w:rsid w:val="005133B5"/>
    <w:rsid w:val="00532097"/>
    <w:rsid w:val="005451A4"/>
    <w:rsid w:val="0058350F"/>
    <w:rsid w:val="00583C7E"/>
    <w:rsid w:val="005D46FB"/>
    <w:rsid w:val="005F2605"/>
    <w:rsid w:val="005F3B0E"/>
    <w:rsid w:val="005F5417"/>
    <w:rsid w:val="005F559C"/>
    <w:rsid w:val="0061490D"/>
    <w:rsid w:val="00662BA0"/>
    <w:rsid w:val="00692AAE"/>
    <w:rsid w:val="006D6E67"/>
    <w:rsid w:val="006E1A13"/>
    <w:rsid w:val="00701C20"/>
    <w:rsid w:val="00702F3D"/>
    <w:rsid w:val="0070518E"/>
    <w:rsid w:val="007354E9"/>
    <w:rsid w:val="00745EAE"/>
    <w:rsid w:val="00765578"/>
    <w:rsid w:val="0077084A"/>
    <w:rsid w:val="007952C7"/>
    <w:rsid w:val="007C0B95"/>
    <w:rsid w:val="007C2317"/>
    <w:rsid w:val="007D330A"/>
    <w:rsid w:val="00805F98"/>
    <w:rsid w:val="00866AE6"/>
    <w:rsid w:val="008750A8"/>
    <w:rsid w:val="008E5AF2"/>
    <w:rsid w:val="0090121B"/>
    <w:rsid w:val="009144C9"/>
    <w:rsid w:val="009272A0"/>
    <w:rsid w:val="0094091F"/>
    <w:rsid w:val="00973754"/>
    <w:rsid w:val="009C0BED"/>
    <w:rsid w:val="009E11EC"/>
    <w:rsid w:val="00A118DB"/>
    <w:rsid w:val="00A1485B"/>
    <w:rsid w:val="00A4450C"/>
    <w:rsid w:val="00AA5E6C"/>
    <w:rsid w:val="00AB786D"/>
    <w:rsid w:val="00AE5677"/>
    <w:rsid w:val="00AE658F"/>
    <w:rsid w:val="00AF2F78"/>
    <w:rsid w:val="00B239FA"/>
    <w:rsid w:val="00B43410"/>
    <w:rsid w:val="00B52D55"/>
    <w:rsid w:val="00B64E0E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B662B"/>
    <w:rsid w:val="00EE7E40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39BB08E-029E-404C-B25C-58FD3207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R15-WRC15-C-0028!A21-A9-R1!MSW-S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405EC6-0109-4A64-8B33-A9AF3BB1CCA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3BCC72-080F-48A0-AA22-ABECCC5D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742</Words>
  <Characters>4197</Characters>
  <Application>Microsoft Office Word</Application>
  <DocSecurity>0</DocSecurity>
  <Lines>82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R15-WRC15-C-0028!A21-A9-R1!MSW-S</vt:lpstr>
    </vt:vector>
  </TitlesOfParts>
  <Manager>Secretaría General - Pool</Manager>
  <Company>Unión Internacional de Telecomunicaciones (UIT)</Company>
  <LinksUpToDate>false</LinksUpToDate>
  <CharactersWithSpaces>4934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R15-WRC15-C-0028!A21-A9-R1!MSW-S</dc:title>
  <dc:subject>Conferencia Mundial de Radiocomunicaciones - 2015</dc:subject>
  <dc:creator>Documents Proposals Manager (DPM)</dc:creator>
  <cp:keywords>DPM_v5.2015.10.15_prod</cp:keywords>
  <dc:description/>
  <cp:lastModifiedBy>Spanish</cp:lastModifiedBy>
  <cp:revision>6</cp:revision>
  <cp:lastPrinted>2015-10-20T20:33:00Z</cp:lastPrinted>
  <dcterms:created xsi:type="dcterms:W3CDTF">2015-10-20T19:00:00Z</dcterms:created>
  <dcterms:modified xsi:type="dcterms:W3CDTF">2015-10-20T20:33:00Z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