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632" w:type="dxa"/>
        <w:tblLayout w:type="fixed"/>
        <w:tblLook w:val="0000" w:firstRow="0" w:lastRow="0" w:firstColumn="0" w:lastColumn="0" w:noHBand="0" w:noVBand="0"/>
      </w:tblPr>
      <w:tblGrid>
        <w:gridCol w:w="6733"/>
        <w:gridCol w:w="3298"/>
        <w:gridCol w:w="601"/>
      </w:tblGrid>
      <w:tr w:rsidR="00BB1D82" w:rsidRPr="002A6F8F" w:rsidTr="009060BE">
        <w:trPr>
          <w:gridAfter w:val="1"/>
          <w:wAfter w:w="601" w:type="dxa"/>
          <w:cantSplit/>
        </w:trPr>
        <w:tc>
          <w:tcPr>
            <w:tcW w:w="6733" w:type="dxa"/>
          </w:tcPr>
          <w:p w:rsidR="00BB1D82" w:rsidRPr="00930FFD" w:rsidRDefault="00851625" w:rsidP="002E7192">
            <w:pPr>
              <w:spacing w:before="400" w:after="48"/>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298" w:type="dxa"/>
          </w:tcPr>
          <w:p w:rsidR="00BB1D82" w:rsidRPr="002A6F8F" w:rsidRDefault="002C28A4" w:rsidP="002E7192">
            <w:pPr>
              <w:spacing w:before="0"/>
              <w:jc w:val="right"/>
              <w:rPr>
                <w:lang w:val="en-US"/>
              </w:rPr>
            </w:pPr>
            <w:bookmarkStart w:id="0" w:name="ditulogo"/>
            <w:bookmarkEnd w:id="0"/>
            <w:r>
              <w:rPr>
                <w:noProof/>
                <w:lang w:val="en-GB" w:eastAsia="zh-CN"/>
              </w:rPr>
              <w:drawing>
                <wp:inline distT="0" distB="0" distL="0" distR="0" wp14:anchorId="5602E026" wp14:editId="475DE9EC">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9060BE">
        <w:trPr>
          <w:gridAfter w:val="1"/>
          <w:wAfter w:w="601" w:type="dxa"/>
          <w:cantSplit/>
        </w:trPr>
        <w:tc>
          <w:tcPr>
            <w:tcW w:w="6733" w:type="dxa"/>
            <w:tcBorders>
              <w:bottom w:val="single" w:sz="12" w:space="0" w:color="auto"/>
            </w:tcBorders>
          </w:tcPr>
          <w:p w:rsidR="00BB1D82" w:rsidRPr="002A6F8F" w:rsidRDefault="002C28A4" w:rsidP="002E7192">
            <w:pPr>
              <w:spacing w:before="0" w:after="48"/>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298" w:type="dxa"/>
            <w:tcBorders>
              <w:bottom w:val="single" w:sz="12" w:space="0" w:color="auto"/>
            </w:tcBorders>
          </w:tcPr>
          <w:p w:rsidR="00BB1D82" w:rsidRPr="002A6F8F" w:rsidRDefault="00BB1D82" w:rsidP="002E7192">
            <w:pPr>
              <w:spacing w:before="0"/>
              <w:rPr>
                <w:rFonts w:ascii="Verdana" w:hAnsi="Verdana"/>
                <w:szCs w:val="24"/>
                <w:lang w:val="en-US"/>
              </w:rPr>
            </w:pPr>
          </w:p>
        </w:tc>
      </w:tr>
      <w:tr w:rsidR="00BB1D82" w:rsidRPr="002A6F8F" w:rsidTr="009060BE">
        <w:trPr>
          <w:gridAfter w:val="1"/>
          <w:wAfter w:w="601" w:type="dxa"/>
          <w:cantSplit/>
        </w:trPr>
        <w:tc>
          <w:tcPr>
            <w:tcW w:w="6733" w:type="dxa"/>
            <w:tcBorders>
              <w:top w:val="single" w:sz="12" w:space="0" w:color="auto"/>
            </w:tcBorders>
          </w:tcPr>
          <w:p w:rsidR="00BB1D82" w:rsidRPr="002A6F8F" w:rsidRDefault="00BB1D82" w:rsidP="002E7192">
            <w:pPr>
              <w:spacing w:before="0" w:after="48"/>
              <w:rPr>
                <w:rFonts w:ascii="Verdana" w:hAnsi="Verdana"/>
                <w:b/>
                <w:smallCaps/>
                <w:sz w:val="20"/>
                <w:lang w:val="en-US"/>
              </w:rPr>
            </w:pPr>
          </w:p>
        </w:tc>
        <w:tc>
          <w:tcPr>
            <w:tcW w:w="3298" w:type="dxa"/>
            <w:tcBorders>
              <w:top w:val="single" w:sz="12" w:space="0" w:color="auto"/>
            </w:tcBorders>
          </w:tcPr>
          <w:p w:rsidR="00BB1D82" w:rsidRPr="002A6F8F" w:rsidRDefault="00BB1D82" w:rsidP="002E7192">
            <w:pPr>
              <w:spacing w:before="0"/>
              <w:rPr>
                <w:rFonts w:ascii="Verdana" w:hAnsi="Verdana"/>
                <w:sz w:val="20"/>
                <w:lang w:val="en-US"/>
              </w:rPr>
            </w:pPr>
          </w:p>
        </w:tc>
      </w:tr>
      <w:tr w:rsidR="00BB1D82" w:rsidRPr="002A6F8F" w:rsidTr="009060BE">
        <w:trPr>
          <w:cantSplit/>
        </w:trPr>
        <w:tc>
          <w:tcPr>
            <w:tcW w:w="6733" w:type="dxa"/>
            <w:shd w:val="clear" w:color="auto" w:fill="auto"/>
          </w:tcPr>
          <w:p w:rsidR="00BB1D82" w:rsidRPr="00930FFD" w:rsidRDefault="006D4724" w:rsidP="002E7192">
            <w:pPr>
              <w:spacing w:before="0"/>
              <w:rPr>
                <w:rFonts w:ascii="Verdana" w:hAnsi="Verdana"/>
                <w:b/>
                <w:sz w:val="20"/>
                <w:lang w:val="en-US"/>
              </w:rPr>
            </w:pPr>
            <w:r w:rsidRPr="00930FFD">
              <w:rPr>
                <w:rFonts w:ascii="Verdana" w:hAnsi="Verdana"/>
                <w:b/>
                <w:sz w:val="20"/>
                <w:lang w:val="en-US"/>
              </w:rPr>
              <w:t>SÉA</w:t>
            </w:r>
            <w:bookmarkStart w:id="2" w:name="_GoBack"/>
            <w:bookmarkEnd w:id="2"/>
            <w:r w:rsidRPr="00930FFD">
              <w:rPr>
                <w:rFonts w:ascii="Verdana" w:hAnsi="Verdana"/>
                <w:b/>
                <w:sz w:val="20"/>
                <w:lang w:val="en-US"/>
              </w:rPr>
              <w:t>NCE PLÉNIÈRE</w:t>
            </w:r>
          </w:p>
        </w:tc>
        <w:tc>
          <w:tcPr>
            <w:tcW w:w="3899" w:type="dxa"/>
            <w:gridSpan w:val="2"/>
            <w:shd w:val="clear" w:color="auto" w:fill="auto"/>
          </w:tcPr>
          <w:p w:rsidR="00BB1D82" w:rsidRPr="00274E85" w:rsidRDefault="006D4724" w:rsidP="002E7192">
            <w:pPr>
              <w:spacing w:before="0"/>
              <w:rPr>
                <w:rFonts w:ascii="Verdana" w:hAnsi="Verdana"/>
                <w:sz w:val="20"/>
              </w:rPr>
            </w:pPr>
            <w:r w:rsidRPr="00274E85">
              <w:rPr>
                <w:rFonts w:ascii="Verdana" w:eastAsia="SimSun" w:hAnsi="Verdana" w:cs="Traditional Arabic"/>
                <w:b/>
                <w:sz w:val="20"/>
              </w:rPr>
              <w:t xml:space="preserve">Révision 1 </w:t>
            </w:r>
            <w:r w:rsidR="0047382E">
              <w:rPr>
                <w:rFonts w:ascii="Verdana" w:eastAsia="SimSun" w:hAnsi="Verdana" w:cs="Traditional Arabic"/>
                <w:b/>
                <w:sz w:val="20"/>
              </w:rPr>
              <w:t>d</w:t>
            </w:r>
            <w:r w:rsidRPr="00274E85">
              <w:rPr>
                <w:rFonts w:ascii="Verdana" w:eastAsia="SimSun" w:hAnsi="Verdana" w:cs="Traditional Arabic"/>
                <w:b/>
                <w:sz w:val="20"/>
              </w:rPr>
              <w:t>u</w:t>
            </w:r>
            <w:r w:rsidRPr="00274E85">
              <w:rPr>
                <w:rFonts w:ascii="Verdana" w:eastAsia="SimSun" w:hAnsi="Verdana" w:cs="Traditional Arabic"/>
                <w:b/>
                <w:sz w:val="20"/>
              </w:rPr>
              <w:br/>
              <w:t>Document 28(Add.21)(Add.8)</w:t>
            </w:r>
            <w:r w:rsidR="00BB1D82" w:rsidRPr="00274E85">
              <w:rPr>
                <w:rFonts w:ascii="Verdana" w:hAnsi="Verdana"/>
                <w:b/>
                <w:sz w:val="20"/>
              </w:rPr>
              <w:t>-</w:t>
            </w:r>
            <w:r w:rsidRPr="00274E85">
              <w:rPr>
                <w:rFonts w:ascii="Verdana" w:hAnsi="Verdana"/>
                <w:b/>
                <w:sz w:val="20"/>
              </w:rPr>
              <w:t>F</w:t>
            </w:r>
          </w:p>
        </w:tc>
      </w:tr>
      <w:bookmarkEnd w:id="1"/>
      <w:tr w:rsidR="00690C7B" w:rsidRPr="002A6F8F" w:rsidTr="009060BE">
        <w:trPr>
          <w:gridAfter w:val="1"/>
          <w:wAfter w:w="601" w:type="dxa"/>
          <w:cantSplit/>
        </w:trPr>
        <w:tc>
          <w:tcPr>
            <w:tcW w:w="6733" w:type="dxa"/>
            <w:shd w:val="clear" w:color="auto" w:fill="auto"/>
          </w:tcPr>
          <w:p w:rsidR="00690C7B" w:rsidRPr="00274E85" w:rsidRDefault="00690C7B" w:rsidP="002E7192">
            <w:pPr>
              <w:spacing w:before="0"/>
              <w:rPr>
                <w:rFonts w:ascii="Verdana" w:hAnsi="Verdana"/>
                <w:b/>
                <w:sz w:val="20"/>
              </w:rPr>
            </w:pPr>
          </w:p>
        </w:tc>
        <w:tc>
          <w:tcPr>
            <w:tcW w:w="3298" w:type="dxa"/>
            <w:shd w:val="clear" w:color="auto" w:fill="auto"/>
          </w:tcPr>
          <w:p w:rsidR="00690C7B" w:rsidRPr="002A6F8F" w:rsidRDefault="00690C7B" w:rsidP="002E7192">
            <w:pPr>
              <w:spacing w:before="0"/>
              <w:rPr>
                <w:rFonts w:ascii="Verdana" w:hAnsi="Verdana"/>
                <w:b/>
                <w:sz w:val="20"/>
                <w:lang w:val="en-US"/>
              </w:rPr>
            </w:pPr>
            <w:r w:rsidRPr="002A6F8F">
              <w:rPr>
                <w:rFonts w:ascii="Verdana" w:hAnsi="Verdana"/>
                <w:b/>
                <w:sz w:val="20"/>
                <w:lang w:val="en-US"/>
              </w:rPr>
              <w:t>13 octobre 2015</w:t>
            </w:r>
          </w:p>
        </w:tc>
      </w:tr>
      <w:tr w:rsidR="00690C7B" w:rsidRPr="002A6F8F" w:rsidTr="009060BE">
        <w:trPr>
          <w:gridAfter w:val="1"/>
          <w:wAfter w:w="601" w:type="dxa"/>
          <w:cantSplit/>
        </w:trPr>
        <w:tc>
          <w:tcPr>
            <w:tcW w:w="6733" w:type="dxa"/>
          </w:tcPr>
          <w:p w:rsidR="00690C7B" w:rsidRPr="002A6F8F" w:rsidRDefault="00690C7B" w:rsidP="002E7192">
            <w:pPr>
              <w:spacing w:before="0" w:after="48"/>
              <w:rPr>
                <w:rFonts w:ascii="Verdana" w:hAnsi="Verdana"/>
                <w:b/>
                <w:smallCaps/>
                <w:sz w:val="20"/>
                <w:lang w:val="en-US"/>
              </w:rPr>
            </w:pPr>
          </w:p>
        </w:tc>
        <w:tc>
          <w:tcPr>
            <w:tcW w:w="3298" w:type="dxa"/>
          </w:tcPr>
          <w:p w:rsidR="00690C7B" w:rsidRPr="002A6F8F" w:rsidRDefault="00690C7B" w:rsidP="002E7192">
            <w:pPr>
              <w:spacing w:before="0"/>
              <w:rPr>
                <w:rFonts w:ascii="Verdana" w:hAnsi="Verdana"/>
                <w:b/>
                <w:sz w:val="20"/>
                <w:lang w:val="en-US"/>
              </w:rPr>
            </w:pPr>
            <w:r w:rsidRPr="002A6F8F">
              <w:rPr>
                <w:rFonts w:ascii="Verdana" w:hAnsi="Verdana"/>
                <w:b/>
                <w:sz w:val="20"/>
                <w:lang w:val="en-US"/>
              </w:rPr>
              <w:t>Original: anglais</w:t>
            </w:r>
          </w:p>
        </w:tc>
      </w:tr>
      <w:tr w:rsidR="00690C7B" w:rsidRPr="002A6F8F" w:rsidTr="009060BE">
        <w:trPr>
          <w:gridAfter w:val="1"/>
          <w:wAfter w:w="601" w:type="dxa"/>
          <w:cantSplit/>
        </w:trPr>
        <w:tc>
          <w:tcPr>
            <w:tcW w:w="10031" w:type="dxa"/>
            <w:gridSpan w:val="2"/>
          </w:tcPr>
          <w:p w:rsidR="00690C7B" w:rsidRPr="002A6F8F" w:rsidRDefault="00690C7B" w:rsidP="002E7192">
            <w:pPr>
              <w:spacing w:before="0"/>
              <w:rPr>
                <w:rFonts w:ascii="Verdana" w:hAnsi="Verdana"/>
                <w:b/>
                <w:sz w:val="20"/>
                <w:lang w:val="en-US"/>
              </w:rPr>
            </w:pPr>
          </w:p>
        </w:tc>
      </w:tr>
      <w:tr w:rsidR="00690C7B" w:rsidRPr="002A6F8F" w:rsidTr="009060BE">
        <w:trPr>
          <w:gridAfter w:val="1"/>
          <w:wAfter w:w="601" w:type="dxa"/>
          <w:cantSplit/>
        </w:trPr>
        <w:tc>
          <w:tcPr>
            <w:tcW w:w="10031" w:type="dxa"/>
            <w:gridSpan w:val="2"/>
          </w:tcPr>
          <w:p w:rsidR="00690C7B" w:rsidRPr="002A6F8F" w:rsidRDefault="00690C7B" w:rsidP="002E7192">
            <w:pPr>
              <w:pStyle w:val="Source"/>
              <w:rPr>
                <w:lang w:val="en-US"/>
              </w:rPr>
            </w:pPr>
            <w:bookmarkStart w:id="3" w:name="dsource" w:colFirst="0" w:colLast="0"/>
            <w:r w:rsidRPr="002A6F8F">
              <w:rPr>
                <w:lang w:val="en-US"/>
              </w:rPr>
              <w:t>Propositions africaines communes</w:t>
            </w:r>
          </w:p>
        </w:tc>
      </w:tr>
      <w:tr w:rsidR="00690C7B" w:rsidRPr="002A6F8F" w:rsidTr="009060BE">
        <w:trPr>
          <w:gridAfter w:val="1"/>
          <w:wAfter w:w="601" w:type="dxa"/>
          <w:cantSplit/>
        </w:trPr>
        <w:tc>
          <w:tcPr>
            <w:tcW w:w="10031" w:type="dxa"/>
            <w:gridSpan w:val="2"/>
          </w:tcPr>
          <w:p w:rsidR="00690C7B" w:rsidRPr="003A0A3D" w:rsidRDefault="00690C7B" w:rsidP="002E7192">
            <w:pPr>
              <w:pStyle w:val="Title1"/>
            </w:pPr>
            <w:bookmarkStart w:id="4" w:name="dtitle1" w:colFirst="0" w:colLast="0"/>
            <w:bookmarkEnd w:id="3"/>
            <w:r w:rsidRPr="003A0A3D">
              <w:t>Propos</w:t>
            </w:r>
            <w:r w:rsidR="00274E85" w:rsidRPr="003A0A3D">
              <w:t>ITIONS POUR LES TRAVAUX DE LA</w:t>
            </w:r>
            <w:r w:rsidRPr="003A0A3D">
              <w:t xml:space="preserve"> conf</w:t>
            </w:r>
            <w:r w:rsidR="00274E85" w:rsidRPr="003A0A3D">
              <w:t>é</w:t>
            </w:r>
            <w:r w:rsidRPr="003A0A3D">
              <w:t>rence</w:t>
            </w:r>
          </w:p>
        </w:tc>
      </w:tr>
      <w:tr w:rsidR="00690C7B" w:rsidRPr="002A6F8F" w:rsidTr="009060BE">
        <w:trPr>
          <w:gridAfter w:val="1"/>
          <w:wAfter w:w="601" w:type="dxa"/>
          <w:cantSplit/>
        </w:trPr>
        <w:tc>
          <w:tcPr>
            <w:tcW w:w="10031" w:type="dxa"/>
            <w:gridSpan w:val="2"/>
          </w:tcPr>
          <w:p w:rsidR="00690C7B" w:rsidRPr="003A0A3D" w:rsidRDefault="00690C7B" w:rsidP="002E7192">
            <w:pPr>
              <w:pStyle w:val="Title2"/>
            </w:pPr>
            <w:bookmarkStart w:id="5" w:name="dtitle2" w:colFirst="0" w:colLast="0"/>
            <w:bookmarkEnd w:id="4"/>
          </w:p>
        </w:tc>
      </w:tr>
      <w:tr w:rsidR="00690C7B" w:rsidTr="009060BE">
        <w:trPr>
          <w:gridAfter w:val="1"/>
          <w:wAfter w:w="601" w:type="dxa"/>
          <w:cantSplit/>
        </w:trPr>
        <w:tc>
          <w:tcPr>
            <w:tcW w:w="10031" w:type="dxa"/>
            <w:gridSpan w:val="2"/>
          </w:tcPr>
          <w:p w:rsidR="00690C7B" w:rsidRDefault="00690C7B" w:rsidP="002E7192">
            <w:pPr>
              <w:pStyle w:val="Agendaitem"/>
            </w:pPr>
            <w:bookmarkStart w:id="6" w:name="dtitle3" w:colFirst="0" w:colLast="0"/>
            <w:bookmarkEnd w:id="5"/>
            <w:r w:rsidRPr="006D4724">
              <w:t>Point 7(H) de l'ordre du jour</w:t>
            </w:r>
          </w:p>
        </w:tc>
      </w:tr>
    </w:tbl>
    <w:bookmarkEnd w:id="6"/>
    <w:p w:rsidR="001C0E40" w:rsidRPr="00EC691D" w:rsidRDefault="006A203A" w:rsidP="002E7192">
      <w:pPr>
        <w:rPr>
          <w:lang w:val="fr-CA"/>
        </w:rPr>
      </w:pPr>
      <w:r w:rsidRPr="0003194D">
        <w:rPr>
          <w:lang w:val="fr-CA"/>
        </w:rPr>
        <w:t>7</w:t>
      </w:r>
      <w:r w:rsidRPr="0003194D">
        <w:rPr>
          <w:lang w:val="fr-CA"/>
        </w:rPr>
        <w:tab/>
        <w:t>examiner d'éventuels changements à apporter, et d'autres options à mettre en œuvre, en application de la Résolution 86 (Rév. </w:t>
      </w:r>
      <w:r w:rsidRPr="00EC691D">
        <w:rPr>
          <w:lang w:val="fr-CA"/>
        </w:rPr>
        <w:t>Marrakech, 2002) de la Conférence de plénipotentiaires, intitulée «Procédures de publication anticipée, de coordination, de notification et d'inscription des assignations de fréquence relatives aux réseaux à satellite», conformément à la Résolution </w:t>
      </w:r>
      <w:r w:rsidRPr="0003194D">
        <w:rPr>
          <w:b/>
          <w:bCs/>
          <w:lang w:val="fr-CA"/>
        </w:rPr>
        <w:t>86 (Rév.CMR-07)</w:t>
      </w:r>
      <w:r w:rsidRPr="00EC691D">
        <w:rPr>
          <w:lang w:val="fr-CA"/>
        </w:rPr>
        <w:t>, afin de faciliter l'utilisation rationnelle, efficace et économique des fréquences radioélectriques et des orbites associées, y compris de l'orbite des satellites géostationnaires;</w:t>
      </w:r>
    </w:p>
    <w:p w:rsidR="001C0E40" w:rsidRPr="000D4406" w:rsidRDefault="006A203A" w:rsidP="002E7192">
      <w:pPr>
        <w:rPr>
          <w:lang w:val="fr-CA"/>
        </w:rPr>
      </w:pPr>
      <w:r>
        <w:rPr>
          <w:lang w:val="fr-CA"/>
        </w:rPr>
        <w:t xml:space="preserve">7(H) </w:t>
      </w:r>
      <w:r>
        <w:rPr>
          <w:lang w:val="fr-CA"/>
        </w:rPr>
        <w:tab/>
      </w:r>
      <w:r w:rsidRPr="000D4406">
        <w:rPr>
          <w:lang w:val="fr-CA"/>
        </w:rPr>
        <w:t>Question H</w:t>
      </w:r>
      <w:r w:rsidRPr="00731224">
        <w:rPr>
          <w:lang w:val="fr-CH"/>
        </w:rPr>
        <w:t xml:space="preserve"> – </w:t>
      </w:r>
      <w:r w:rsidRPr="000D4406">
        <w:rPr>
          <w:lang w:val="fr-CA"/>
        </w:rPr>
        <w:t>Utilisation d'une station spatiale pour mettre en service des assignations de fréquence à différentes positions orbitales sur une courte période</w:t>
      </w:r>
      <w:r>
        <w:rPr>
          <w:lang w:val="fr-CA"/>
        </w:rPr>
        <w:t>.</w:t>
      </w:r>
    </w:p>
    <w:p w:rsidR="003A583E" w:rsidRDefault="003A0A3D" w:rsidP="002E7192">
      <w:pPr>
        <w:pStyle w:val="Headingb"/>
      </w:pPr>
      <w:r>
        <w:t>Propositions</w:t>
      </w:r>
    </w:p>
    <w:p w:rsidR="0015203F" w:rsidRDefault="0015203F" w:rsidP="002E7192">
      <w:pPr>
        <w:tabs>
          <w:tab w:val="clear" w:pos="1134"/>
          <w:tab w:val="clear" w:pos="1871"/>
          <w:tab w:val="clear" w:pos="2268"/>
        </w:tabs>
        <w:overflowPunct/>
        <w:autoSpaceDE/>
        <w:autoSpaceDN/>
        <w:adjustRightInd/>
        <w:spacing w:before="0"/>
        <w:textAlignment w:val="auto"/>
      </w:pPr>
      <w:r>
        <w:br w:type="page"/>
      </w:r>
    </w:p>
    <w:p w:rsidR="004A6A8C" w:rsidRPr="001F58CF" w:rsidRDefault="006A203A" w:rsidP="002E7192">
      <w:pPr>
        <w:pStyle w:val="ArtNo"/>
      </w:pPr>
      <w:r w:rsidRPr="00501CC0">
        <w:lastRenderedPageBreak/>
        <w:t>ARTICLE</w:t>
      </w:r>
      <w:r w:rsidRPr="001F58CF">
        <w:t xml:space="preserve"> </w:t>
      </w:r>
      <w:r w:rsidRPr="001F58CF">
        <w:rPr>
          <w:rStyle w:val="href"/>
        </w:rPr>
        <w:t>11</w:t>
      </w:r>
    </w:p>
    <w:p w:rsidR="004A6A8C" w:rsidRPr="000C4F5E" w:rsidRDefault="006A203A" w:rsidP="002E7192">
      <w:pPr>
        <w:pStyle w:val="Arttitle"/>
      </w:pPr>
      <w:r w:rsidRPr="00E82312">
        <w:t>Notification et inscription des assignations</w:t>
      </w:r>
      <w:r w:rsidRPr="00E82312">
        <w:br/>
        <w:t xml:space="preserve">de </w:t>
      </w:r>
      <w:r w:rsidRPr="00463598">
        <w:t>fréquence</w:t>
      </w:r>
      <w:r w:rsidRPr="003A0A3D">
        <w:rPr>
          <w:rStyle w:val="FootnoteReference"/>
          <w:b w:val="0"/>
          <w:bCs/>
        </w:rPr>
        <w:t>1, 2, 3, 4, 5, 6, 7, 7</w:t>
      </w:r>
      <w:r w:rsidRPr="003A0A3D">
        <w:rPr>
          <w:rStyle w:val="FootnoteReference"/>
          <w:b w:val="0"/>
          <w:bCs/>
          <w:i/>
          <w:iCs/>
        </w:rPr>
        <w:t>bis</w:t>
      </w:r>
      <w:r w:rsidRPr="003A0A3D">
        <w:rPr>
          <w:rStyle w:val="FootnoteReference"/>
          <w:b w:val="0"/>
          <w:bCs/>
        </w:rPr>
        <w:t> </w:t>
      </w:r>
      <w:r w:rsidRPr="003A0A3D">
        <w:rPr>
          <w:b w:val="0"/>
          <w:bCs/>
          <w:sz w:val="16"/>
          <w:szCs w:val="16"/>
        </w:rPr>
        <w:t>  </w:t>
      </w:r>
      <w:r w:rsidRPr="00466ED8">
        <w:rPr>
          <w:b w:val="0"/>
          <w:bCs/>
          <w:sz w:val="16"/>
          <w:szCs w:val="16"/>
        </w:rPr>
        <w:t>(CMR-12)</w:t>
      </w:r>
    </w:p>
    <w:p w:rsidR="004A6A8C" w:rsidRDefault="006A203A" w:rsidP="002E7192">
      <w:pPr>
        <w:pStyle w:val="Section1"/>
      </w:pPr>
      <w:r>
        <w:t>Section II –</w:t>
      </w:r>
      <w:r w:rsidRPr="00375EEA">
        <w:t xml:space="preserve"> Examen des fiches de notification et inscription des</w:t>
      </w:r>
      <w:r w:rsidRPr="00375EEA">
        <w:br/>
        <w:t>assignations de fréquence dans le Fichier de référence</w:t>
      </w:r>
    </w:p>
    <w:p w:rsidR="007C0CE6" w:rsidRDefault="006A203A" w:rsidP="002E7192">
      <w:pPr>
        <w:pStyle w:val="Proposal"/>
      </w:pPr>
      <w:r>
        <w:t>MOD</w:t>
      </w:r>
      <w:r>
        <w:tab/>
        <w:t>AFCP/28A21A8/1</w:t>
      </w:r>
    </w:p>
    <w:p w:rsidR="004A6A8C" w:rsidRPr="0047382E" w:rsidRDefault="006A203A" w:rsidP="002E7192">
      <w:pPr>
        <w:rPr>
          <w:lang w:val="fr-CH"/>
        </w:rPr>
      </w:pPr>
      <w:r w:rsidRPr="001B1440">
        <w:rPr>
          <w:rStyle w:val="Artdef"/>
        </w:rPr>
        <w:t>11.44</w:t>
      </w:r>
      <w:r>
        <w:rPr>
          <w:rStyle w:val="Artdef"/>
        </w:rPr>
        <w:t>B</w:t>
      </w:r>
      <w:r w:rsidRPr="00880E98">
        <w:tab/>
      </w:r>
      <w:r w:rsidRPr="005D3A76">
        <w:tab/>
        <w:t xml:space="preserve">Une assignation de fréquence à une station spatiale sur l'orbite des satellites géostationnaires est considérée comme ayant été mise en service, lorsqu'une station spatiale sur l'orbite des satellites géostationnaires ayant la capacité d'émettre ou de recevoir sur cette fréquence assignée, a été déployée à la position orbitale notifiée et maintenue </w:t>
      </w:r>
      <w:r>
        <w:t xml:space="preserve">à cette position </w:t>
      </w:r>
      <w:r w:rsidRPr="005D3A76">
        <w:t xml:space="preserve">pendant une période </w:t>
      </w:r>
      <w:r>
        <w:t>continue</w:t>
      </w:r>
      <w:r w:rsidRPr="005D3A76">
        <w:t xml:space="preserve"> de quatre-vingt-dix jours. L'administration notificatrice en informe le Bureau dans un délai de trente jours à compter de la fin de la période de quatre-vingt-dix jours.</w:t>
      </w:r>
      <w:ins w:id="7" w:author="Bachler, Mathilde" w:date="2015-10-21T14:59:00Z">
        <w:r w:rsidR="0047382E">
          <w:t xml:space="preserve"> Voir aussi la Résolution </w:t>
        </w:r>
        <w:r w:rsidR="0047382E" w:rsidRPr="0047382E">
          <w:rPr>
            <w:b/>
            <w:bCs/>
            <w:rPrChange w:id="8" w:author="Bachler, Mathilde" w:date="2015-10-21T14:59:00Z">
              <w:rPr/>
            </w:rPrChange>
          </w:rPr>
          <w:t>[AFCP-A7H-SAT-HOPP] (CMR-15)</w:t>
        </w:r>
        <w:r w:rsidR="0047382E">
          <w:t>.</w:t>
        </w:r>
      </w:ins>
      <w:r w:rsidRPr="00111ADE">
        <w:rPr>
          <w:sz w:val="16"/>
          <w:szCs w:val="16"/>
        </w:rPr>
        <w:t>     </w:t>
      </w:r>
      <w:r w:rsidRPr="0047382E">
        <w:rPr>
          <w:sz w:val="16"/>
          <w:szCs w:val="16"/>
          <w:lang w:val="fr-CH"/>
        </w:rPr>
        <w:t>(CMR</w:t>
      </w:r>
      <w:r w:rsidRPr="0047382E">
        <w:rPr>
          <w:sz w:val="16"/>
          <w:szCs w:val="16"/>
          <w:lang w:val="fr-CH"/>
        </w:rPr>
        <w:noBreakHyphen/>
      </w:r>
      <w:del w:id="9" w:author="Bachler, Mathilde" w:date="2015-10-21T15:22:00Z">
        <w:r w:rsidRPr="0047382E" w:rsidDel="002A6C8C">
          <w:rPr>
            <w:sz w:val="16"/>
            <w:szCs w:val="16"/>
            <w:lang w:val="fr-CH"/>
          </w:rPr>
          <w:delText>12</w:delText>
        </w:r>
      </w:del>
      <w:ins w:id="10" w:author="Bachler, Mathilde" w:date="2015-10-21T15:22:00Z">
        <w:r w:rsidR="002A6C8C">
          <w:rPr>
            <w:sz w:val="16"/>
            <w:szCs w:val="16"/>
            <w:lang w:val="fr-CH"/>
          </w:rPr>
          <w:t>15</w:t>
        </w:r>
      </w:ins>
      <w:r w:rsidRPr="0047382E">
        <w:rPr>
          <w:sz w:val="16"/>
          <w:szCs w:val="16"/>
          <w:lang w:val="fr-CH"/>
        </w:rPr>
        <w:t>)</w:t>
      </w:r>
    </w:p>
    <w:p w:rsidR="007C0CE6" w:rsidRPr="0047382E" w:rsidRDefault="006A203A" w:rsidP="002E7192">
      <w:pPr>
        <w:pStyle w:val="Reasons"/>
        <w:rPr>
          <w:lang w:val="fr-CH"/>
        </w:rPr>
      </w:pPr>
      <w:r w:rsidRPr="0047382E">
        <w:rPr>
          <w:b/>
          <w:lang w:val="fr-CH"/>
        </w:rPr>
        <w:t>Motifs:</w:t>
      </w:r>
      <w:r w:rsidRPr="0047382E">
        <w:rPr>
          <w:lang w:val="fr-CH"/>
        </w:rPr>
        <w:tab/>
      </w:r>
      <w:r w:rsidR="0047382E" w:rsidRPr="0047382E">
        <w:rPr>
          <w:lang w:val="fr-CH"/>
        </w:rPr>
        <w:t>Améliorer les dispositions réglementaires relatives aux satellites</w:t>
      </w:r>
      <w:r w:rsidRPr="0047382E">
        <w:rPr>
          <w:lang w:val="fr-CH"/>
        </w:rPr>
        <w:t>.</w:t>
      </w:r>
    </w:p>
    <w:p w:rsidR="007C0CE6" w:rsidRPr="0047382E" w:rsidRDefault="006A203A" w:rsidP="002E7192">
      <w:pPr>
        <w:pStyle w:val="Proposal"/>
        <w:rPr>
          <w:lang w:val="fr-CH"/>
        </w:rPr>
      </w:pPr>
      <w:r w:rsidRPr="0047382E">
        <w:rPr>
          <w:lang w:val="fr-CH"/>
        </w:rPr>
        <w:t>ADD</w:t>
      </w:r>
      <w:r w:rsidRPr="0047382E">
        <w:rPr>
          <w:lang w:val="fr-CH"/>
        </w:rPr>
        <w:tab/>
        <w:t>AFCP/28A21A8/2</w:t>
      </w:r>
    </w:p>
    <w:p w:rsidR="00356DA4" w:rsidRDefault="00356DA4" w:rsidP="002E7192">
      <w:pPr>
        <w:pStyle w:val="ResNo"/>
        <w:rPr>
          <w:lang w:val="fr-CH" w:eastAsia="zh-CN"/>
        </w:rPr>
      </w:pPr>
      <w:r>
        <w:rPr>
          <w:lang w:val="fr-CH"/>
        </w:rPr>
        <w:t>PROJET DE NOUVELLE RÉSOLUTION [A7H] (CMR-15)</w:t>
      </w:r>
    </w:p>
    <w:p w:rsidR="00356DA4" w:rsidRDefault="00356DA4" w:rsidP="002E7192">
      <w:pPr>
        <w:pStyle w:val="Restitle"/>
        <w:rPr>
          <w:lang w:val="fr-CH"/>
        </w:rPr>
      </w:pPr>
      <w:r>
        <w:rPr>
          <w:lang w:val="fr-CH" w:eastAsia="ja-JP"/>
        </w:rPr>
        <w:t xml:space="preserve">Utilisation d'une station spatiale pour mettre en service des assignations </w:t>
      </w:r>
      <w:r>
        <w:rPr>
          <w:lang w:val="fr-CH" w:eastAsia="ja-JP"/>
        </w:rPr>
        <w:br/>
        <w:t xml:space="preserve">de fréquence à des réseaux à satellite géostationnaire à des positions </w:t>
      </w:r>
      <w:r>
        <w:rPr>
          <w:lang w:val="fr-CH" w:eastAsia="ja-JP"/>
        </w:rPr>
        <w:br/>
        <w:t>orbitales différentes sur une courte période</w:t>
      </w:r>
    </w:p>
    <w:p w:rsidR="006B6A77" w:rsidRDefault="006B6A77" w:rsidP="002E7192">
      <w:pPr>
        <w:pStyle w:val="Normalaftertitle"/>
        <w:rPr>
          <w:sz w:val="22"/>
          <w:lang w:val="fr-CH" w:eastAsia="zh-CN"/>
        </w:rPr>
      </w:pPr>
      <w:r>
        <w:rPr>
          <w:lang w:val="fr-CH"/>
        </w:rPr>
        <w:t>La Conférence mondiale des radiocommunications (Genève, 2015),</w:t>
      </w:r>
    </w:p>
    <w:p w:rsidR="006B6A77" w:rsidRDefault="006B6A77" w:rsidP="002E7192">
      <w:pPr>
        <w:pStyle w:val="Call"/>
        <w:rPr>
          <w:lang w:val="fr-CH"/>
        </w:rPr>
      </w:pPr>
      <w:r>
        <w:rPr>
          <w:lang w:val="fr-CH"/>
        </w:rPr>
        <w:t>considérant</w:t>
      </w:r>
    </w:p>
    <w:p w:rsidR="006B6A77" w:rsidRDefault="006B6A77" w:rsidP="002E7192">
      <w:pPr>
        <w:rPr>
          <w:lang w:val="fr-CH"/>
        </w:rPr>
      </w:pPr>
      <w:r>
        <w:rPr>
          <w:i/>
          <w:lang w:val="fr-CH" w:eastAsia="ja-JP"/>
          <w:rPrChange w:id="11" w:author="Rouabhi, Naima" w:date="2015-03-11T16:33:00Z">
            <w:rPr>
              <w:i/>
              <w:color w:val="000000"/>
              <w:highlight w:val="cyan"/>
              <w:lang w:eastAsia="ja-JP"/>
            </w:rPr>
          </w:rPrChange>
        </w:rPr>
        <w:t>a)</w:t>
      </w:r>
      <w:r>
        <w:rPr>
          <w:lang w:val="fr-CH" w:eastAsia="ja-JP"/>
          <w:rPrChange w:id="12" w:author="Rouabhi, Naima" w:date="2015-03-11T16:33:00Z">
            <w:rPr>
              <w:color w:val="000000"/>
              <w:highlight w:val="cyan"/>
              <w:lang w:eastAsia="ja-JP"/>
            </w:rPr>
          </w:rPrChange>
        </w:rPr>
        <w:tab/>
      </w:r>
      <w:r>
        <w:rPr>
          <w:lang w:val="fr-CH"/>
        </w:rPr>
        <w:t>que</w:t>
      </w:r>
      <w:r>
        <w:rPr>
          <w:lang w:val="fr-CH" w:eastAsia="ja-JP"/>
        </w:rPr>
        <w:t xml:space="preserve"> l'utilisation de la même station spatiale pour mettre en service des assignations de fréquence à des réseaux à satellite géostationnaire à des positions orbitales différentes sur une courte période</w:t>
      </w:r>
      <w:r>
        <w:rPr>
          <w:lang w:val="fr-CH"/>
          <w:rPrChange w:id="13" w:author="Rouabhi, Naima" w:date="2015-03-11T17:02:00Z">
            <w:rPr>
              <w:color w:val="000000"/>
            </w:rPr>
          </w:rPrChange>
        </w:rPr>
        <w:t xml:space="preserve"> </w:t>
      </w:r>
      <w:r>
        <w:rPr>
          <w:color w:val="000000"/>
          <w:lang w:val="fr-CH"/>
        </w:rPr>
        <w:t xml:space="preserve">pourrait </w:t>
      </w:r>
      <w:r>
        <w:rPr>
          <w:lang w:val="fr-CH" w:eastAsia="ko-KR"/>
        </w:rPr>
        <w:t>conduire à une utilisation inefficace des ressources du spectre et de l'orbite;</w:t>
      </w:r>
    </w:p>
    <w:p w:rsidR="006B6A77" w:rsidRDefault="006B6A77" w:rsidP="002E7192">
      <w:pPr>
        <w:rPr>
          <w:color w:val="000000"/>
          <w:lang w:val="fr-CH" w:eastAsia="ja-JP"/>
        </w:rPr>
      </w:pPr>
      <w:r>
        <w:rPr>
          <w:i/>
          <w:color w:val="000000"/>
          <w:lang w:val="fr-CH" w:eastAsia="ja-JP"/>
        </w:rPr>
        <w:t>b)</w:t>
      </w:r>
      <w:r>
        <w:rPr>
          <w:color w:val="000000"/>
          <w:lang w:val="fr-CH" w:eastAsia="ja-JP"/>
        </w:rPr>
        <w:tab/>
        <w:t>qu'une administration notificatrice peut, pour des raisons légitimes, avoir besoin de déplacer un engin spatial d'une position orbitale à une autre;</w:t>
      </w:r>
    </w:p>
    <w:p w:rsidR="006B6A77" w:rsidRDefault="006B6A77" w:rsidP="002E7192">
      <w:pPr>
        <w:rPr>
          <w:i/>
          <w:iCs/>
          <w:color w:val="000000"/>
          <w:lang w:val="fr-CH" w:eastAsia="ja-JP"/>
        </w:rPr>
      </w:pPr>
      <w:r>
        <w:rPr>
          <w:i/>
          <w:iCs/>
          <w:color w:val="000000"/>
          <w:lang w:val="fr-CH" w:eastAsia="ja-JP"/>
        </w:rPr>
        <w:t>c)</w:t>
      </w:r>
      <w:r>
        <w:rPr>
          <w:i/>
          <w:iCs/>
          <w:color w:val="000000"/>
          <w:lang w:val="fr-CH" w:eastAsia="ja-JP"/>
        </w:rPr>
        <w:tab/>
      </w:r>
      <w:r>
        <w:rPr>
          <w:color w:val="000000"/>
          <w:lang w:val="fr-CH" w:eastAsia="ja-JP"/>
        </w:rPr>
        <w:t>qu'</w:t>
      </w:r>
      <w:r>
        <w:rPr>
          <w:lang w:val="fr-CH"/>
        </w:rPr>
        <w:t>il conviendrait de veiller à ne pas limiter le recours légitime à des manœuvres et à la gestion de flotte,</w:t>
      </w:r>
    </w:p>
    <w:p w:rsidR="006B6A77" w:rsidRDefault="006B6A77" w:rsidP="002E7192">
      <w:pPr>
        <w:pStyle w:val="Call"/>
        <w:rPr>
          <w:lang w:val="fr-CH" w:eastAsia="zh-CN"/>
        </w:rPr>
      </w:pPr>
      <w:r>
        <w:rPr>
          <w:lang w:val="fr-CH" w:eastAsia="ja-JP"/>
        </w:rPr>
        <w:t>notant</w:t>
      </w:r>
    </w:p>
    <w:p w:rsidR="006B6A77" w:rsidRDefault="006B6A77" w:rsidP="002E7192">
      <w:pPr>
        <w:rPr>
          <w:lang w:val="fr-CH" w:eastAsia="ja-JP"/>
        </w:rPr>
      </w:pPr>
      <w:r>
        <w:rPr>
          <w:i/>
          <w:iCs/>
          <w:lang w:val="fr-CH"/>
        </w:rPr>
        <w:t>a)</w:t>
      </w:r>
      <w:r>
        <w:rPr>
          <w:lang w:val="fr-CH"/>
        </w:rPr>
        <w:tab/>
        <w:t>que</w:t>
      </w:r>
      <w:r w:rsidR="002E7192">
        <w:rPr>
          <w:lang w:val="fr-CH"/>
        </w:rPr>
        <w:t>, lorsqu'elle a adopté</w:t>
      </w:r>
      <w:r>
        <w:rPr>
          <w:lang w:val="fr-CH"/>
        </w:rPr>
        <w:t xml:space="preserve"> la révision des</w:t>
      </w:r>
      <w:r w:rsidR="002E7192">
        <w:rPr>
          <w:lang w:val="fr-CH"/>
        </w:rPr>
        <w:t xml:space="preserve"> numéros</w:t>
      </w:r>
      <w:r>
        <w:rPr>
          <w:lang w:val="fr-CH"/>
        </w:rPr>
        <w:t> </w:t>
      </w:r>
      <w:r>
        <w:rPr>
          <w:b/>
          <w:bCs/>
          <w:lang w:val="fr-CH"/>
        </w:rPr>
        <w:t>11.44</w:t>
      </w:r>
      <w:r>
        <w:rPr>
          <w:lang w:val="fr-CH"/>
        </w:rPr>
        <w:t xml:space="preserve">, </w:t>
      </w:r>
      <w:r>
        <w:rPr>
          <w:b/>
          <w:bCs/>
          <w:lang w:val="fr-CH"/>
        </w:rPr>
        <w:t>11.44.1</w:t>
      </w:r>
      <w:r>
        <w:rPr>
          <w:lang w:val="fr-CH"/>
        </w:rPr>
        <w:t xml:space="preserve">, </w:t>
      </w:r>
      <w:r>
        <w:rPr>
          <w:b/>
          <w:bCs/>
          <w:lang w:val="fr-CH"/>
        </w:rPr>
        <w:t>11.44B</w:t>
      </w:r>
      <w:r>
        <w:rPr>
          <w:lang w:val="fr-CH"/>
        </w:rPr>
        <w:t xml:space="preserve"> et </w:t>
      </w:r>
      <w:r>
        <w:rPr>
          <w:b/>
          <w:bCs/>
          <w:lang w:val="fr-CH"/>
        </w:rPr>
        <w:t>11.49</w:t>
      </w:r>
      <w:r w:rsidR="002E7192">
        <w:rPr>
          <w:b/>
          <w:bCs/>
          <w:lang w:val="fr-CH"/>
        </w:rPr>
        <w:t>,</w:t>
      </w:r>
      <w:r>
        <w:rPr>
          <w:lang w:val="fr-CH"/>
        </w:rPr>
        <w:t xml:space="preserve"> </w:t>
      </w:r>
      <w:r w:rsidR="002E7192">
        <w:rPr>
          <w:lang w:val="fr-CH"/>
        </w:rPr>
        <w:t xml:space="preserve">la CMR-12 n'avait pas l'intention </w:t>
      </w:r>
      <w:r>
        <w:rPr>
          <w:lang w:val="fr-CH"/>
        </w:rPr>
        <w:t>de traiter la question de l'utilisation d'une station spatiale pour mettre en service des assignations de fréquence à des positions orbitales différentes sur une courte période;</w:t>
      </w:r>
    </w:p>
    <w:p w:rsidR="006B6A77" w:rsidRDefault="006B6A77" w:rsidP="009060BE">
      <w:pPr>
        <w:rPr>
          <w:lang w:val="fr-CH" w:eastAsia="ja-JP"/>
        </w:rPr>
      </w:pPr>
      <w:r>
        <w:rPr>
          <w:i/>
          <w:lang w:val="fr-CH" w:eastAsia="ja-JP"/>
        </w:rPr>
        <w:t>b)</w:t>
      </w:r>
      <w:r>
        <w:rPr>
          <w:lang w:val="fr-CH" w:eastAsia="ja-JP"/>
        </w:rPr>
        <w:tab/>
        <w:t xml:space="preserve">que la CMR-12 a </w:t>
      </w:r>
      <w:r w:rsidR="002E7192">
        <w:rPr>
          <w:lang w:val="fr-CH" w:eastAsia="ja-JP"/>
        </w:rPr>
        <w:t>prié l'UIT-R d'étudier plus avant</w:t>
      </w:r>
      <w:r>
        <w:rPr>
          <w:lang w:val="fr-CH" w:eastAsia="ja-JP"/>
        </w:rPr>
        <w:t xml:space="preserve"> cette question et a décidé que,</w:t>
      </w:r>
      <w:r>
        <w:rPr>
          <w:lang w:val="fr-CH"/>
        </w:rPr>
        <w:t xml:space="preserve"> tant que les études de l'UIT-R ne seraient pas achevées</w:t>
      </w:r>
      <w:r w:rsidR="002E7192">
        <w:rPr>
          <w:lang w:val="fr-CH"/>
        </w:rPr>
        <w:t>, lorsqu'une administration met</w:t>
      </w:r>
      <w:r>
        <w:rPr>
          <w:lang w:val="fr-CH"/>
        </w:rPr>
        <w:t xml:space="preserve"> en service des assignations de fréquence à une position orbitale donnée en utilisant un satellite déjà en orbite, le Bureau</w:t>
      </w:r>
      <w:r w:rsidR="002E7192">
        <w:rPr>
          <w:lang w:val="fr-CH"/>
        </w:rPr>
        <w:t xml:space="preserve"> est prié</w:t>
      </w:r>
      <w:r>
        <w:rPr>
          <w:lang w:val="fr-CH"/>
        </w:rPr>
        <w:t xml:space="preserve"> </w:t>
      </w:r>
      <w:r w:rsidR="002E7192">
        <w:rPr>
          <w:lang w:val="fr-CH"/>
        </w:rPr>
        <w:t>d'</w:t>
      </w:r>
      <w:r>
        <w:rPr>
          <w:lang w:val="fr-CH"/>
        </w:rPr>
        <w:t xml:space="preserve">adresser </w:t>
      </w:r>
      <w:r w:rsidR="002E7192">
        <w:rPr>
          <w:lang w:val="fr-CH"/>
        </w:rPr>
        <w:t xml:space="preserve">à cette </w:t>
      </w:r>
      <w:r>
        <w:rPr>
          <w:lang w:val="fr-CH"/>
        </w:rPr>
        <w:t>administration</w:t>
      </w:r>
      <w:r w:rsidR="002E7192" w:rsidRPr="002E7192">
        <w:rPr>
          <w:lang w:val="fr-CH"/>
        </w:rPr>
        <w:t xml:space="preserve"> </w:t>
      </w:r>
      <w:r w:rsidR="002E7192">
        <w:rPr>
          <w:lang w:val="fr-CH"/>
        </w:rPr>
        <w:t>une demande</w:t>
      </w:r>
      <w:r>
        <w:rPr>
          <w:lang w:val="fr-CH"/>
        </w:rPr>
        <w:t xml:space="preserve"> concernant l</w:t>
      </w:r>
      <w:r w:rsidR="002E7192">
        <w:rPr>
          <w:lang w:val="fr-CH"/>
        </w:rPr>
        <w:t>es dernières</w:t>
      </w:r>
      <w:r>
        <w:rPr>
          <w:lang w:val="fr-CH"/>
        </w:rPr>
        <w:t xml:space="preserve"> position</w:t>
      </w:r>
      <w:r w:rsidR="002E7192">
        <w:rPr>
          <w:lang w:val="fr-CH"/>
        </w:rPr>
        <w:t>s</w:t>
      </w:r>
      <w:r>
        <w:rPr>
          <w:lang w:val="fr-CH"/>
        </w:rPr>
        <w:t xml:space="preserve"> </w:t>
      </w:r>
      <w:r>
        <w:rPr>
          <w:lang w:val="fr-CH"/>
        </w:rPr>
        <w:lastRenderedPageBreak/>
        <w:t>orbitale</w:t>
      </w:r>
      <w:r w:rsidR="002E7192">
        <w:rPr>
          <w:lang w:val="fr-CH"/>
        </w:rPr>
        <w:t>s</w:t>
      </w:r>
      <w:r>
        <w:rPr>
          <w:lang w:val="fr-CH"/>
        </w:rPr>
        <w:t>/assignations de fréquence précédentes mises en service</w:t>
      </w:r>
      <w:r w:rsidR="002E7192">
        <w:rPr>
          <w:lang w:val="fr-CH"/>
        </w:rPr>
        <w:t xml:space="preserve"> avec ce satellite</w:t>
      </w:r>
      <w:r>
        <w:rPr>
          <w:lang w:val="fr-CH"/>
        </w:rPr>
        <w:t xml:space="preserve"> et à communiquer ces </w:t>
      </w:r>
      <w:r w:rsidR="002E7192">
        <w:rPr>
          <w:lang w:val="fr-CH"/>
        </w:rPr>
        <w:t>renseignements</w:t>
      </w:r>
      <w:r>
        <w:rPr>
          <w:lang w:val="fr-CH"/>
        </w:rPr>
        <w:t>,</w:t>
      </w:r>
    </w:p>
    <w:p w:rsidR="006B6A77" w:rsidRDefault="006B6A77" w:rsidP="002E7192">
      <w:pPr>
        <w:pStyle w:val="Call"/>
        <w:rPr>
          <w:lang w:val="fr-CH" w:eastAsia="ja-JP"/>
        </w:rPr>
      </w:pPr>
      <w:r>
        <w:rPr>
          <w:lang w:val="fr-CH" w:eastAsia="ja-JP"/>
        </w:rPr>
        <w:t>décide</w:t>
      </w:r>
    </w:p>
    <w:p w:rsidR="006B6A77" w:rsidRDefault="0047382E" w:rsidP="002E7192">
      <w:pPr>
        <w:rPr>
          <w:lang w:val="fr-CH"/>
        </w:rPr>
      </w:pPr>
      <w:r>
        <w:rPr>
          <w:lang w:val="fr-CH"/>
        </w:rPr>
        <w:t>1</w:t>
      </w:r>
      <w:r w:rsidR="006B6A77">
        <w:rPr>
          <w:lang w:val="fr-CH"/>
        </w:rPr>
        <w:tab/>
        <w:t>que</w:t>
      </w:r>
      <w:r w:rsidR="002E7192">
        <w:rPr>
          <w:lang w:val="fr-CH"/>
        </w:rPr>
        <w:t>,</w:t>
      </w:r>
      <w:r w:rsidR="006B6A77">
        <w:rPr>
          <w:lang w:val="fr-CH"/>
        </w:rPr>
        <w:t xml:space="preserve"> </w:t>
      </w:r>
      <w:r w:rsidR="002E7192">
        <w:rPr>
          <w:lang w:val="fr-CH"/>
        </w:rPr>
        <w:t xml:space="preserve">lorsqu'elles </w:t>
      </w:r>
      <w:r w:rsidR="006B6A77">
        <w:rPr>
          <w:lang w:val="fr-CH"/>
        </w:rPr>
        <w:t>annoncent la mise en service, ou la remise en service après une suspension, d'assignations de fréquence à des réseaux à satellite géostationnaire</w:t>
      </w:r>
      <w:r w:rsidR="002E7192" w:rsidRPr="002E7192">
        <w:rPr>
          <w:lang w:val="fr-CH"/>
        </w:rPr>
        <w:t xml:space="preserve"> </w:t>
      </w:r>
      <w:r w:rsidR="002E7192">
        <w:rPr>
          <w:lang w:val="fr-CH"/>
        </w:rPr>
        <w:t>les administrations notificatrices</w:t>
      </w:r>
      <w:r w:rsidR="006B6A77">
        <w:rPr>
          <w:lang w:val="fr-CH"/>
        </w:rPr>
        <w:t xml:space="preserve"> doivent indiquer au Bureau si elles ont utilisé à cette fin un satellite récemment lancé ou un satellite déjà en orbite (aux fins de la présente Résolution uniquement, on entend par «satellite récemment lancé» un satellite qui n'a jamais été utilisé pour mettre en service ou remettre en service des assignations de fréquence);</w:t>
      </w:r>
    </w:p>
    <w:p w:rsidR="006B6A77" w:rsidRDefault="0047382E" w:rsidP="0046460F">
      <w:pPr>
        <w:rPr>
          <w:lang w:val="fr-CH"/>
        </w:rPr>
      </w:pPr>
      <w:r>
        <w:rPr>
          <w:lang w:val="fr-CH"/>
        </w:rPr>
        <w:t>2</w:t>
      </w:r>
      <w:r w:rsidR="006B6A77">
        <w:rPr>
          <w:lang w:val="fr-CH"/>
        </w:rPr>
        <w:tab/>
        <w:t>que, lorsqu'une administration notificatrice a indiqué, conformément au point </w:t>
      </w:r>
      <w:r w:rsidR="002A6C8C">
        <w:rPr>
          <w:lang w:val="fr-CH"/>
        </w:rPr>
        <w:t>1</w:t>
      </w:r>
      <w:r w:rsidR="006B6A77">
        <w:rPr>
          <w:lang w:val="fr-CH"/>
        </w:rPr>
        <w:t xml:space="preserve"> du </w:t>
      </w:r>
      <w:r w:rsidR="006B6A77">
        <w:rPr>
          <w:i/>
          <w:iCs/>
          <w:lang w:val="fr-CH"/>
        </w:rPr>
        <w:t>décide</w:t>
      </w:r>
      <w:r w:rsidR="006B6A77">
        <w:rPr>
          <w:lang w:val="fr-CH"/>
        </w:rPr>
        <w:t xml:space="preserve"> ci-dessus, avoir mis en service, ou remis en service après une suspension, des assignations de fréquence à des réseaux à satellite géostationnaire </w:t>
      </w:r>
      <w:r w:rsidR="002E7192">
        <w:rPr>
          <w:lang w:val="fr-CH"/>
        </w:rPr>
        <w:t>avec</w:t>
      </w:r>
      <w:r w:rsidR="006B6A77">
        <w:rPr>
          <w:lang w:val="fr-CH"/>
        </w:rPr>
        <w:t xml:space="preserve"> un satellite déjà en orbite, le Bureau d</w:t>
      </w:r>
      <w:r w:rsidR="002E7192">
        <w:rPr>
          <w:lang w:val="fr-CH"/>
        </w:rPr>
        <w:t xml:space="preserve">oit </w:t>
      </w:r>
      <w:r w:rsidR="006B6A77">
        <w:rPr>
          <w:lang w:val="fr-CH"/>
        </w:rPr>
        <w:t>demander à l'administration notificatrice d'indiquer la position orbitale que le satellite en orbite occupait précédemment et le réseau à satellite ayant été mis en service à la position orbitale précédent</w:t>
      </w:r>
      <w:r w:rsidR="002E7192">
        <w:rPr>
          <w:lang w:val="fr-CH"/>
        </w:rPr>
        <w:t>e</w:t>
      </w:r>
      <w:r w:rsidR="006B6A77">
        <w:rPr>
          <w:lang w:val="fr-CH"/>
        </w:rPr>
        <w:t xml:space="preserve"> </w:t>
      </w:r>
      <w:r w:rsidR="0046460F">
        <w:rPr>
          <w:lang w:val="fr-CH"/>
        </w:rPr>
        <w:t>au moyen du</w:t>
      </w:r>
      <w:r w:rsidR="006B6A77">
        <w:rPr>
          <w:lang w:val="fr-CH"/>
        </w:rPr>
        <w:t xml:space="preserve"> satellite en orbite;</w:t>
      </w:r>
    </w:p>
    <w:p w:rsidR="006B6A77" w:rsidRDefault="0047382E" w:rsidP="0046460F">
      <w:pPr>
        <w:rPr>
          <w:lang w:val="fr-CH"/>
        </w:rPr>
      </w:pPr>
      <w:r>
        <w:rPr>
          <w:lang w:val="fr-CH"/>
        </w:rPr>
        <w:t>3</w:t>
      </w:r>
      <w:r w:rsidR="006B6A77">
        <w:rPr>
          <w:lang w:val="fr-CH"/>
        </w:rPr>
        <w:tab/>
        <w:t xml:space="preserve">que, si les renseignements </w:t>
      </w:r>
      <w:r w:rsidR="002A6C8C">
        <w:rPr>
          <w:lang w:val="fr-CH"/>
        </w:rPr>
        <w:t xml:space="preserve">ne sont pas </w:t>
      </w:r>
      <w:r w:rsidR="006B6A77">
        <w:rPr>
          <w:lang w:val="fr-CH"/>
        </w:rPr>
        <w:t xml:space="preserve">fournis par l'administration notificatrice au titre </w:t>
      </w:r>
      <w:r w:rsidR="002A6C8C">
        <w:rPr>
          <w:lang w:val="fr-CH"/>
        </w:rPr>
        <w:t xml:space="preserve">des points 1 et 2 </w:t>
      </w:r>
      <w:r w:rsidR="006B6A77">
        <w:rPr>
          <w:lang w:val="fr-CH"/>
        </w:rPr>
        <w:t>du </w:t>
      </w:r>
      <w:r w:rsidR="006B6A77">
        <w:rPr>
          <w:i/>
          <w:iCs/>
          <w:lang w:val="fr-CH"/>
        </w:rPr>
        <w:t>décide</w:t>
      </w:r>
      <w:r w:rsidR="006B6A77">
        <w:rPr>
          <w:lang w:val="fr-CH"/>
        </w:rPr>
        <w:t xml:space="preserve"> ci-dessus </w:t>
      </w:r>
      <w:r w:rsidR="002A6C8C">
        <w:rPr>
          <w:lang w:val="fr-CH"/>
        </w:rPr>
        <w:t xml:space="preserve">en ce qui concerne </w:t>
      </w:r>
      <w:r w:rsidR="006B6A77">
        <w:rPr>
          <w:lang w:val="fr-CH"/>
        </w:rPr>
        <w:t>la mise en service, ou la remise en service après une suspension, le Bureau</w:t>
      </w:r>
      <w:r w:rsidR="0046460F">
        <w:rPr>
          <w:lang w:val="fr-CH"/>
        </w:rPr>
        <w:t xml:space="preserve"> doit</w:t>
      </w:r>
      <w:r w:rsidR="006B6A77">
        <w:rPr>
          <w:lang w:val="fr-CH"/>
        </w:rPr>
        <w:t xml:space="preserve"> soumettr</w:t>
      </w:r>
      <w:r w:rsidR="0046460F">
        <w:rPr>
          <w:lang w:val="fr-CH"/>
        </w:rPr>
        <w:t>e</w:t>
      </w:r>
      <w:r w:rsidR="006B6A77">
        <w:rPr>
          <w:lang w:val="fr-CH"/>
        </w:rPr>
        <w:t xml:space="preserve"> le cas au Comité du Règlement des radiocommunications;</w:t>
      </w:r>
    </w:p>
    <w:p w:rsidR="0047382E" w:rsidRDefault="0047382E" w:rsidP="0046460F">
      <w:pPr>
        <w:rPr>
          <w:lang w:val="fr-CH"/>
        </w:rPr>
      </w:pPr>
      <w:r>
        <w:t>4</w:t>
      </w:r>
      <w:r>
        <w:tab/>
        <w:t xml:space="preserve">que, si après </w:t>
      </w:r>
      <w:r w:rsidR="0046460F">
        <w:t xml:space="preserve">avoir examiné </w:t>
      </w:r>
      <w:r>
        <w:t xml:space="preserve">un cas soumis par le Bureau au titre du point </w:t>
      </w:r>
      <w:r w:rsidR="00E904A1">
        <w:t>3</w:t>
      </w:r>
      <w:r>
        <w:t xml:space="preserve"> du </w:t>
      </w:r>
      <w:r w:rsidRPr="00E904A1">
        <w:rPr>
          <w:i/>
          <w:iCs/>
        </w:rPr>
        <w:t>décide</w:t>
      </w:r>
      <w:r>
        <w:t xml:space="preserve"> ci-dessus, le Comité du Règlement des radiocommunications </w:t>
      </w:r>
      <w:r w:rsidR="0046460F">
        <w:t>conclu</w:t>
      </w:r>
      <w:r>
        <w:t xml:space="preserve">t que la mise en service, ou la remise en service après une suspension, est contraire aux </w:t>
      </w:r>
      <w:r w:rsidR="002A6C8C">
        <w:t>procédures réglementaires applicables, selon le cas</w:t>
      </w:r>
      <w:r w:rsidR="0046460F">
        <w:t xml:space="preserve">, </w:t>
      </w:r>
      <w:r w:rsidR="009060BE">
        <w:t xml:space="preserve">il </w:t>
      </w:r>
      <w:r w:rsidR="0046460F">
        <w:t>doit</w:t>
      </w:r>
      <w:r>
        <w:t xml:space="preserve"> charger le Bureau de considérer</w:t>
      </w:r>
      <w:r w:rsidR="0046460F">
        <w:t xml:space="preserve"> que</w:t>
      </w:r>
      <w:r>
        <w:t xml:space="preserve"> les assignations de fréquence au réseau à satellite géostationnaire </w:t>
      </w:r>
      <w:r w:rsidR="0046460F">
        <w:t>n'ont</w:t>
      </w:r>
      <w:r>
        <w:t xml:space="preserve"> pas été mises en service, </w:t>
      </w:r>
      <w:r w:rsidR="0046460F">
        <w:t>ou</w:t>
      </w:r>
      <w:r>
        <w:t xml:space="preserve"> remises en service, et de mettre en œuvre par la suite les procédures réglementaires applicables.</w:t>
      </w:r>
    </w:p>
    <w:p w:rsidR="007C0CE6" w:rsidRPr="0047382E" w:rsidRDefault="006A203A" w:rsidP="002E7192">
      <w:pPr>
        <w:pStyle w:val="Reasons"/>
        <w:rPr>
          <w:lang w:val="fr-CH"/>
        </w:rPr>
      </w:pPr>
      <w:r w:rsidRPr="0047382E">
        <w:rPr>
          <w:b/>
          <w:lang w:val="fr-CH"/>
        </w:rPr>
        <w:t>Motifs:</w:t>
      </w:r>
      <w:r w:rsidRPr="0047382E">
        <w:rPr>
          <w:lang w:val="fr-CH"/>
        </w:rPr>
        <w:tab/>
      </w:r>
      <w:r w:rsidR="0047382E" w:rsidRPr="0047382E">
        <w:rPr>
          <w:lang w:val="fr-CH"/>
        </w:rPr>
        <w:t>Améliorer les dispositions réglementaires relatives aux satellites.</w:t>
      </w:r>
    </w:p>
    <w:p w:rsidR="006A203A" w:rsidRPr="0047382E" w:rsidRDefault="006A203A" w:rsidP="002E7192">
      <w:pPr>
        <w:pStyle w:val="Reasons"/>
        <w:rPr>
          <w:lang w:val="fr-CH"/>
        </w:rPr>
      </w:pPr>
    </w:p>
    <w:p w:rsidR="006A203A" w:rsidRDefault="006A203A" w:rsidP="002E7192">
      <w:pPr>
        <w:jc w:val="center"/>
      </w:pPr>
      <w:r>
        <w:t>______________</w:t>
      </w:r>
    </w:p>
    <w:sectPr w:rsidR="006A203A">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9060BE" w:rsidRDefault="00936D25">
    <w:pPr>
      <w:rPr>
        <w:lang w:val="de-CH"/>
      </w:rPr>
    </w:pPr>
    <w:r>
      <w:fldChar w:fldCharType="begin"/>
    </w:r>
    <w:r w:rsidRPr="009060BE">
      <w:rPr>
        <w:lang w:val="de-CH"/>
      </w:rPr>
      <w:instrText xml:space="preserve"> FILENAME \p  \* MERGEFORMAT </w:instrText>
    </w:r>
    <w:r>
      <w:fldChar w:fldCharType="separate"/>
    </w:r>
    <w:r w:rsidR="008040BD">
      <w:rPr>
        <w:noProof/>
        <w:lang w:val="de-CH"/>
      </w:rPr>
      <w:t>P:\FRA\ITU-R\CONF-R\CMR15\000\028ADD21ADD08REV1F.docx</w:t>
    </w:r>
    <w:r>
      <w:fldChar w:fldCharType="end"/>
    </w:r>
    <w:r w:rsidRPr="009060BE">
      <w:rPr>
        <w:lang w:val="de-CH"/>
      </w:rPr>
      <w:tab/>
    </w:r>
    <w:r>
      <w:fldChar w:fldCharType="begin"/>
    </w:r>
    <w:r>
      <w:instrText xml:space="preserve"> SAVEDATE \@ DD.MM.YY </w:instrText>
    </w:r>
    <w:r>
      <w:fldChar w:fldCharType="separate"/>
    </w:r>
    <w:r w:rsidR="008040BD">
      <w:rPr>
        <w:noProof/>
      </w:rPr>
      <w:t>28.10.15</w:t>
    </w:r>
    <w:r>
      <w:fldChar w:fldCharType="end"/>
    </w:r>
    <w:r w:rsidRPr="009060BE">
      <w:rPr>
        <w:lang w:val="de-CH"/>
      </w:rPr>
      <w:tab/>
    </w:r>
    <w:r>
      <w:fldChar w:fldCharType="begin"/>
    </w:r>
    <w:r>
      <w:instrText xml:space="preserve"> PRINTDATE \@ DD.MM.YY </w:instrText>
    </w:r>
    <w:r>
      <w:fldChar w:fldCharType="separate"/>
    </w:r>
    <w:r w:rsidR="008040BD">
      <w:rPr>
        <w:noProof/>
      </w:rPr>
      <w:t>28.10.15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rsidP="002E7192">
    <w:pPr>
      <w:pStyle w:val="Footer"/>
      <w:rPr>
        <w:lang w:val="en-US"/>
      </w:rPr>
    </w:pPr>
    <w:r>
      <w:fldChar w:fldCharType="begin"/>
    </w:r>
    <w:r>
      <w:rPr>
        <w:lang w:val="en-US"/>
      </w:rPr>
      <w:instrText xml:space="preserve"> FILENAME \p  \* MERGEFORMAT </w:instrText>
    </w:r>
    <w:r>
      <w:fldChar w:fldCharType="separate"/>
    </w:r>
    <w:r w:rsidR="008040BD">
      <w:rPr>
        <w:lang w:val="en-US"/>
      </w:rPr>
      <w:t>P:\FRA\ITU-R\CONF-R\CMR15\000\028ADD21ADD08REV1F.docx</w:t>
    </w:r>
    <w:r>
      <w:fldChar w:fldCharType="end"/>
    </w:r>
    <w:r w:rsidR="003A0A3D" w:rsidRPr="003A0A3D">
      <w:rPr>
        <w:lang w:val="en-US"/>
      </w:rPr>
      <w:t xml:space="preserve"> (388252)</w:t>
    </w:r>
    <w:r>
      <w:rPr>
        <w:lang w:val="en-US"/>
      </w:rPr>
      <w:tab/>
    </w:r>
    <w:r>
      <w:fldChar w:fldCharType="begin"/>
    </w:r>
    <w:r>
      <w:instrText xml:space="preserve"> SAVEDATE \@ DD.MM.YY </w:instrText>
    </w:r>
    <w:r>
      <w:fldChar w:fldCharType="separate"/>
    </w:r>
    <w:r w:rsidR="008040BD">
      <w:t>28.10.15</w:t>
    </w:r>
    <w:r>
      <w:fldChar w:fldCharType="end"/>
    </w:r>
    <w:r>
      <w:rPr>
        <w:lang w:val="en-US"/>
      </w:rPr>
      <w:tab/>
    </w:r>
    <w:r>
      <w:fldChar w:fldCharType="begin"/>
    </w:r>
    <w:r>
      <w:instrText xml:space="preserve"> PRINTDATE \@ DD.MM.YY </w:instrText>
    </w:r>
    <w:r>
      <w:fldChar w:fldCharType="separate"/>
    </w:r>
    <w:r w:rsidR="008040BD">
      <w:t>28.10.15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rsidP="002E7192">
    <w:pPr>
      <w:pStyle w:val="Footer"/>
      <w:rPr>
        <w:lang w:val="en-US"/>
      </w:rPr>
    </w:pPr>
    <w:r>
      <w:fldChar w:fldCharType="begin"/>
    </w:r>
    <w:r>
      <w:rPr>
        <w:lang w:val="en-US"/>
      </w:rPr>
      <w:instrText xml:space="preserve"> FILENAME \p  \* MERGEFORMAT </w:instrText>
    </w:r>
    <w:r>
      <w:fldChar w:fldCharType="separate"/>
    </w:r>
    <w:r w:rsidR="008040BD">
      <w:rPr>
        <w:lang w:val="en-US"/>
      </w:rPr>
      <w:t>P:\FRA\ITU-R\CONF-R\CMR15\000\028ADD21ADD08REV1F.docx</w:t>
    </w:r>
    <w:r>
      <w:fldChar w:fldCharType="end"/>
    </w:r>
    <w:r w:rsidR="003A0A3D" w:rsidRPr="003A0A3D">
      <w:rPr>
        <w:lang w:val="en-US"/>
      </w:rPr>
      <w:t xml:space="preserve"> (388252)</w:t>
    </w:r>
    <w:r w:rsidR="003A0A3D">
      <w:rPr>
        <w:lang w:val="en-US"/>
      </w:rPr>
      <w:tab/>
    </w:r>
    <w:r>
      <w:fldChar w:fldCharType="begin"/>
    </w:r>
    <w:r>
      <w:instrText xml:space="preserve"> SAVEDATE \@ DD.MM.YY </w:instrText>
    </w:r>
    <w:r>
      <w:fldChar w:fldCharType="separate"/>
    </w:r>
    <w:r w:rsidR="008040BD">
      <w:t>28.10.15</w:t>
    </w:r>
    <w:r>
      <w:fldChar w:fldCharType="end"/>
    </w:r>
    <w:r>
      <w:rPr>
        <w:lang w:val="en-US"/>
      </w:rPr>
      <w:tab/>
    </w:r>
    <w:r>
      <w:fldChar w:fldCharType="begin"/>
    </w:r>
    <w:r>
      <w:instrText xml:space="preserve"> PRINTDATE \@ DD.MM.YY </w:instrText>
    </w:r>
    <w:r>
      <w:fldChar w:fldCharType="separate"/>
    </w:r>
    <w:r w:rsidR="008040BD">
      <w:t>28.10.15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8040BD">
      <w:rPr>
        <w:noProof/>
      </w:rPr>
      <w:t>3</w:t>
    </w:r>
    <w:r>
      <w:fldChar w:fldCharType="end"/>
    </w:r>
  </w:p>
  <w:p w:rsidR="004F1F8E" w:rsidRDefault="004F1F8E" w:rsidP="0047382E">
    <w:pPr>
      <w:pStyle w:val="Header"/>
    </w:pPr>
    <w:r>
      <w:t>CMR1</w:t>
    </w:r>
    <w:r w:rsidR="002C28A4">
      <w:t>5</w:t>
    </w:r>
    <w:r>
      <w:t>/</w:t>
    </w:r>
    <w:r w:rsidR="006A4B45">
      <w:t>28(Add.21)(Add.8)(R</w:t>
    </w:r>
    <w:r w:rsidR="0047382E">
      <w:t>é</w:t>
    </w:r>
    <w:r w:rsidR="006A4B45">
      <w:t>v.1)-</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chler, Mathilde">
    <w15:presenceInfo w15:providerId="AD" w15:userId="S-1-5-21-8740799-900759487-1415713722-39404"/>
  </w15:person>
  <w15:person w15:author="Rouabhi, Naima">
    <w15:presenceInfo w15:providerId="AD" w15:userId="S-1-5-21-8740799-900759487-1415713722-36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67A0"/>
    <w:rsid w:val="0015203F"/>
    <w:rsid w:val="00160C64"/>
    <w:rsid w:val="0018169B"/>
    <w:rsid w:val="0019352B"/>
    <w:rsid w:val="001960D0"/>
    <w:rsid w:val="001A0F4F"/>
    <w:rsid w:val="001F17E8"/>
    <w:rsid w:val="00204306"/>
    <w:rsid w:val="00232FD2"/>
    <w:rsid w:val="0026554E"/>
    <w:rsid w:val="00274E85"/>
    <w:rsid w:val="002A4622"/>
    <w:rsid w:val="002A6C8C"/>
    <w:rsid w:val="002A6F8F"/>
    <w:rsid w:val="002B17E5"/>
    <w:rsid w:val="002C0EBF"/>
    <w:rsid w:val="002C28A4"/>
    <w:rsid w:val="002E7192"/>
    <w:rsid w:val="00315AFE"/>
    <w:rsid w:val="00356DA4"/>
    <w:rsid w:val="003606A6"/>
    <w:rsid w:val="0036650C"/>
    <w:rsid w:val="00393ACD"/>
    <w:rsid w:val="003A0A3D"/>
    <w:rsid w:val="003A583E"/>
    <w:rsid w:val="003E112B"/>
    <w:rsid w:val="003E1D1C"/>
    <w:rsid w:val="003E7B05"/>
    <w:rsid w:val="0046460F"/>
    <w:rsid w:val="00466211"/>
    <w:rsid w:val="0047382E"/>
    <w:rsid w:val="004834A9"/>
    <w:rsid w:val="004D01FC"/>
    <w:rsid w:val="004E28C3"/>
    <w:rsid w:val="004F1F8E"/>
    <w:rsid w:val="00512A32"/>
    <w:rsid w:val="00586CF2"/>
    <w:rsid w:val="005C3768"/>
    <w:rsid w:val="005C6C3F"/>
    <w:rsid w:val="00603B2A"/>
    <w:rsid w:val="00613635"/>
    <w:rsid w:val="0062093D"/>
    <w:rsid w:val="00637ECF"/>
    <w:rsid w:val="00647B59"/>
    <w:rsid w:val="00690C7B"/>
    <w:rsid w:val="006A203A"/>
    <w:rsid w:val="006A4B45"/>
    <w:rsid w:val="006B6A77"/>
    <w:rsid w:val="006D4724"/>
    <w:rsid w:val="00701BAE"/>
    <w:rsid w:val="00721F04"/>
    <w:rsid w:val="00730E95"/>
    <w:rsid w:val="00736241"/>
    <w:rsid w:val="007426B9"/>
    <w:rsid w:val="00764342"/>
    <w:rsid w:val="00774362"/>
    <w:rsid w:val="00786598"/>
    <w:rsid w:val="007A04E8"/>
    <w:rsid w:val="007C0CE6"/>
    <w:rsid w:val="008040BD"/>
    <w:rsid w:val="00851625"/>
    <w:rsid w:val="00863C0A"/>
    <w:rsid w:val="008A3120"/>
    <w:rsid w:val="008D41BE"/>
    <w:rsid w:val="008D58D3"/>
    <w:rsid w:val="009060BE"/>
    <w:rsid w:val="00923064"/>
    <w:rsid w:val="00930FFD"/>
    <w:rsid w:val="00936D25"/>
    <w:rsid w:val="00941EA5"/>
    <w:rsid w:val="00964700"/>
    <w:rsid w:val="00966C16"/>
    <w:rsid w:val="0098732F"/>
    <w:rsid w:val="009A045F"/>
    <w:rsid w:val="009C7E7C"/>
    <w:rsid w:val="00A00473"/>
    <w:rsid w:val="00A03C9B"/>
    <w:rsid w:val="00A37105"/>
    <w:rsid w:val="00A606C3"/>
    <w:rsid w:val="00A83B09"/>
    <w:rsid w:val="00A84541"/>
    <w:rsid w:val="00AE36A0"/>
    <w:rsid w:val="00B00294"/>
    <w:rsid w:val="00B03260"/>
    <w:rsid w:val="00B64FD0"/>
    <w:rsid w:val="00BA5BD0"/>
    <w:rsid w:val="00BB1D82"/>
    <w:rsid w:val="00BF26E7"/>
    <w:rsid w:val="00C53FCA"/>
    <w:rsid w:val="00C76BAF"/>
    <w:rsid w:val="00C814B9"/>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904A1"/>
    <w:rsid w:val="00EA3F38"/>
    <w:rsid w:val="00EA5AB6"/>
    <w:rsid w:val="00EC7615"/>
    <w:rsid w:val="00ED16AA"/>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444DD0F-D050-4404-B564-E5E4AC5D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link w:val="ResNoChar"/>
    <w:rsid w:val="00D25FBA"/>
  </w:style>
  <w:style w:type="paragraph" w:customStyle="1" w:styleId="Restitle">
    <w:name w:val="Res_title"/>
    <w:basedOn w:val="Rectitle"/>
    <w:next w:val="Normal"/>
    <w:link w:val="RestitleChar"/>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character" w:customStyle="1" w:styleId="RestitleChar">
    <w:name w:val="Res_title Char"/>
    <w:basedOn w:val="DefaultParagraphFont"/>
    <w:link w:val="Restitle"/>
    <w:locked/>
    <w:rsid w:val="00356DA4"/>
    <w:rPr>
      <w:rFonts w:ascii="Times New Roman Bold" w:hAnsi="Times New Roman Bold"/>
      <w:b/>
      <w:sz w:val="28"/>
      <w:lang w:val="fr-FR" w:eastAsia="en-US"/>
    </w:rPr>
  </w:style>
  <w:style w:type="character" w:customStyle="1" w:styleId="ResNoChar">
    <w:name w:val="Res_No Char"/>
    <w:basedOn w:val="DefaultParagraphFont"/>
    <w:link w:val="ResNo"/>
    <w:locked/>
    <w:rsid w:val="00356DA4"/>
    <w:rPr>
      <w:rFonts w:ascii="Times New Roman" w:hAnsi="Times New Roman"/>
      <w:caps/>
      <w:sz w:val="28"/>
      <w:lang w:val="fr-FR" w:eastAsia="en-US"/>
    </w:rPr>
  </w:style>
  <w:style w:type="character" w:customStyle="1" w:styleId="CallChar">
    <w:name w:val="Call Char"/>
    <w:basedOn w:val="DefaultParagraphFont"/>
    <w:link w:val="Call"/>
    <w:locked/>
    <w:rsid w:val="006B6A77"/>
    <w:rPr>
      <w:rFonts w:ascii="Times New Roman" w:hAnsi="Times New Roman"/>
      <w:i/>
      <w:sz w:val="24"/>
      <w:lang w:val="fr-FR" w:eastAsia="en-US"/>
    </w:rPr>
  </w:style>
  <w:style w:type="character" w:customStyle="1" w:styleId="NormalaftertitleChar">
    <w:name w:val="Normal after title Char"/>
    <w:basedOn w:val="DefaultParagraphFont"/>
    <w:link w:val="Normalaftertitle"/>
    <w:locked/>
    <w:rsid w:val="006B6A77"/>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633360">
      <w:bodyDiv w:val="1"/>
      <w:marLeft w:val="0"/>
      <w:marRight w:val="0"/>
      <w:marTop w:val="0"/>
      <w:marBottom w:val="0"/>
      <w:divBdr>
        <w:top w:val="none" w:sz="0" w:space="0" w:color="auto"/>
        <w:left w:val="none" w:sz="0" w:space="0" w:color="auto"/>
        <w:bottom w:val="none" w:sz="0" w:space="0" w:color="auto"/>
        <w:right w:val="none" w:sz="0" w:space="0" w:color="auto"/>
      </w:divBdr>
    </w:div>
    <w:div w:id="176272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R15-WRC15-C-0028!A21-A8-R1!MSW-F</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00D15924-3BF7-4439-9B7D-ADBEF64FF1CD}">
  <ds:schemaRefs>
    <ds:schemaRef ds:uri="http://purl.org/dc/dcmitype/"/>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996b2e75-67fd-4955-a3b0-5ab9934cb50b"/>
    <ds:schemaRef ds:uri="32a1a8c5-2265-4ebc-b7a0-2071e2c5c9bb"/>
    <ds:schemaRef ds:uri="http://purl.org/dc/terms/"/>
    <ds:schemaRef ds:uri="http://purl.org/dc/elements/1.1/"/>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837</Words>
  <Characters>4887</Characters>
  <Application>Microsoft Office Word</Application>
  <DocSecurity>0</DocSecurity>
  <Lines>94</Lines>
  <Paragraphs>36</Paragraphs>
  <ScaleCrop>false</ScaleCrop>
  <HeadingPairs>
    <vt:vector size="2" baseType="variant">
      <vt:variant>
        <vt:lpstr>Title</vt:lpstr>
      </vt:variant>
      <vt:variant>
        <vt:i4>1</vt:i4>
      </vt:variant>
    </vt:vector>
  </HeadingPairs>
  <TitlesOfParts>
    <vt:vector size="1" baseType="lpstr">
      <vt:lpstr>R15-WRC15-C-0028!A21-A8-R1!MSW-F</vt:lpstr>
    </vt:vector>
  </TitlesOfParts>
  <Manager>Secrétariat général - Pool</Manager>
  <Company>Union internationale des télécommunications (UIT)</Company>
  <LinksUpToDate>false</LinksUpToDate>
  <CharactersWithSpaces>5700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R15-WRC15-C-0028!A21-A8-R1!MSW-F</dc:title>
  <dc:subject>Conférence mondiale des radiocommunications - 2015</dc:subject>
  <dc:creator>Documents Proposals Manager (DPM)</dc:creator>
  <cp:keywords>DPM_v5.2015.10.15_prod</cp:keywords>
  <dc:description/>
  <cp:lastModifiedBy>Jones, Jacqueline</cp:lastModifiedBy>
  <cp:revision>6</cp:revision>
  <cp:lastPrinted>2015-10-28T11:01:00Z</cp:lastPrinted>
  <dcterms:created xsi:type="dcterms:W3CDTF">2015-10-22T07:32:00Z</dcterms:created>
  <dcterms:modified xsi:type="dcterms:W3CDTF">2015-10-28T11:01:00Z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