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2785D" w:rsidTr="002C5CD4">
        <w:trPr>
          <w:cantSplit/>
        </w:trPr>
        <w:tc>
          <w:tcPr>
            <w:tcW w:w="6804" w:type="dxa"/>
          </w:tcPr>
          <w:p w:rsidR="0090121B" w:rsidRPr="009A0D6F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27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6C4ADE9E" wp14:editId="0F4B339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2C5CD4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2C5CD4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2C5CD4">
        <w:trPr>
          <w:cantSplit/>
        </w:trPr>
        <w:tc>
          <w:tcPr>
            <w:tcW w:w="6804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0B7D71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B7D71">
              <w:rPr>
                <w:rFonts w:ascii="Verdana" w:eastAsia="SimSun" w:hAnsi="Verdana" w:cs="Traditional Arabic"/>
                <w:b/>
                <w:sz w:val="20"/>
              </w:rPr>
              <w:t>Addéndum</w:t>
            </w:r>
            <w:proofErr w:type="spellEnd"/>
            <w:r w:rsidRPr="000B7D71">
              <w:rPr>
                <w:rFonts w:ascii="Verdana" w:eastAsia="SimSun" w:hAnsi="Verdana" w:cs="Traditional Arabic"/>
                <w:b/>
                <w:sz w:val="20"/>
              </w:rPr>
              <w:t xml:space="preserve"> 6 al</w:t>
            </w:r>
            <w:r w:rsidRPr="000B7D71">
              <w:rPr>
                <w:rFonts w:ascii="Verdana" w:eastAsia="SimSun" w:hAnsi="Verdana" w:cs="Traditional Arabic"/>
                <w:b/>
                <w:sz w:val="20"/>
              </w:rPr>
              <w:br/>
              <w:t>Documento 28(Add.21)</w:t>
            </w:r>
            <w:r w:rsidR="0090121B" w:rsidRPr="000B7D71">
              <w:rPr>
                <w:rFonts w:ascii="Verdana" w:hAnsi="Verdana"/>
                <w:b/>
                <w:sz w:val="20"/>
              </w:rPr>
              <w:t>-</w:t>
            </w:r>
            <w:r w:rsidRPr="000B7D71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2C5CD4">
        <w:trPr>
          <w:cantSplit/>
        </w:trPr>
        <w:tc>
          <w:tcPr>
            <w:tcW w:w="6804" w:type="dxa"/>
            <w:shd w:val="clear" w:color="auto" w:fill="auto"/>
          </w:tcPr>
          <w:p w:rsidR="000A5B9A" w:rsidRPr="009A0D6F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0B7D71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B7D71">
              <w:rPr>
                <w:rFonts w:ascii="Verdana" w:hAnsi="Verdana"/>
                <w:b/>
                <w:sz w:val="20"/>
              </w:rPr>
              <w:t>16 de septiembre de 2015</w:t>
            </w:r>
          </w:p>
        </w:tc>
      </w:tr>
      <w:tr w:rsidR="000A5B9A" w:rsidRPr="0002785D" w:rsidTr="002C5CD4">
        <w:trPr>
          <w:cantSplit/>
        </w:trPr>
        <w:tc>
          <w:tcPr>
            <w:tcW w:w="6804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</w:tcPr>
          <w:p w:rsidR="000A5B9A" w:rsidRPr="000B7D71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B7D71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B7D71" w:rsidRDefault="000A5B9A" w:rsidP="000A5B9A">
            <w:pPr>
              <w:pStyle w:val="Source"/>
            </w:pPr>
            <w:bookmarkStart w:id="2" w:name="dsource" w:colFirst="0" w:colLast="0"/>
            <w:r w:rsidRPr="000B7D71">
              <w:t>Propuestas Comunes Africanas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9A0D6F" w:rsidRDefault="009A0D6F" w:rsidP="000A5B9A">
            <w:pPr>
              <w:pStyle w:val="Title1"/>
            </w:pPr>
            <w:bookmarkStart w:id="3" w:name="dtitle1" w:colFirst="0" w:colLast="0"/>
            <w:bookmarkEnd w:id="2"/>
            <w:r w:rsidRPr="009A0D6F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9A0D6F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7(F) del orden del día</w:t>
            </w:r>
          </w:p>
        </w:tc>
      </w:tr>
    </w:tbl>
    <w:bookmarkEnd w:id="5"/>
    <w:p w:rsidR="001C0E40" w:rsidRPr="009424B4" w:rsidRDefault="00E86C33" w:rsidP="00512F4E">
      <w:r w:rsidRPr="00211854">
        <w:t>7</w:t>
      </w:r>
      <w:r w:rsidRPr="00211854">
        <w:tab/>
        <w:t>considerar posibles modificaciones y otras opciones como consecuencia de la Resolución</w:t>
      </w:r>
      <w:r>
        <w:t> </w:t>
      </w:r>
      <w:r w:rsidRPr="00211854">
        <w:t xml:space="preserve">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211854">
        <w:rPr>
          <w:b/>
          <w:bCs/>
        </w:rPr>
        <w:t>86 (Rev.CMR-07)</w:t>
      </w:r>
      <w:r w:rsidRPr="00211854">
        <w:t>, para facilitar la utilización racional, eficaz y económica de las frecuencias radioeléctricas y toda órbita asociada, incluida la órbita de los satélites geoestacionarios;</w:t>
      </w:r>
    </w:p>
    <w:p w:rsidR="001C0E40" w:rsidRPr="00606F87" w:rsidRDefault="00C42E8A" w:rsidP="004A4004">
      <w:r>
        <w:t>7(F)</w:t>
      </w:r>
      <w:r w:rsidR="00E86C33">
        <w:tab/>
      </w:r>
      <w:r w:rsidR="00E86C33" w:rsidRPr="00606F87">
        <w:t>Tema F</w:t>
      </w:r>
      <w:r w:rsidR="00E86C33" w:rsidRPr="00646F4E">
        <w:rPr>
          <w:lang w:val="es-ES"/>
        </w:rPr>
        <w:t xml:space="preserve"> – </w:t>
      </w:r>
      <w:r w:rsidR="00E86C33" w:rsidRPr="00606F87">
        <w:t xml:space="preserve">Modificaciones del Apéndice </w:t>
      </w:r>
      <w:r w:rsidR="00E86C33" w:rsidRPr="0009087A">
        <w:rPr>
          <w:b/>
          <w:bCs/>
        </w:rPr>
        <w:t xml:space="preserve">30B </w:t>
      </w:r>
      <w:r w:rsidR="00E86C33" w:rsidRPr="00606F87">
        <w:t>del RR en relación con la suspensión del uso de una asignación de frecuencias inscrita en el Registro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3631E" w:rsidRPr="00CA5ADE" w:rsidRDefault="00E86C33" w:rsidP="003C11ED">
      <w:pPr>
        <w:pStyle w:val="AppendixNo"/>
        <w:spacing w:before="0"/>
        <w:rPr>
          <w:color w:val="000000"/>
        </w:rPr>
      </w:pPr>
      <w:r w:rsidRPr="00CA5ADE">
        <w:rPr>
          <w:color w:val="000000"/>
        </w:rPr>
        <w:lastRenderedPageBreak/>
        <w:t xml:space="preserve">APÉNDICE </w:t>
      </w:r>
      <w:r w:rsidRPr="00CA5ADE">
        <w:rPr>
          <w:rStyle w:val="href"/>
        </w:rPr>
        <w:t>30B</w:t>
      </w:r>
      <w:r w:rsidRPr="00CA5ADE">
        <w:rPr>
          <w:color w:val="000000"/>
        </w:rPr>
        <w:t xml:space="preserve"> (Rev</w:t>
      </w:r>
      <w:r w:rsidRPr="00CA5ADE">
        <w:rPr>
          <w:caps w:val="0"/>
          <w:color w:val="000000"/>
        </w:rPr>
        <w:t>.</w:t>
      </w:r>
      <w:r w:rsidRPr="00CA5ADE">
        <w:rPr>
          <w:color w:val="000000"/>
        </w:rPr>
        <w:t>CMR</w:t>
      </w:r>
      <w:r w:rsidRPr="00CA5ADE">
        <w:rPr>
          <w:color w:val="000000"/>
        </w:rPr>
        <w:noBreakHyphen/>
      </w:r>
      <w:del w:id="6" w:author="Tsarapkina, Yulia" w:date="2015-09-28T10:16:00Z">
        <w:r w:rsidR="003C11ED" w:rsidRPr="003A650D" w:rsidDel="00980F42">
          <w:delText>12</w:delText>
        </w:r>
      </w:del>
      <w:ins w:id="7" w:author="Tsarapkina, Yulia" w:date="2015-09-28T10:16:00Z">
        <w:r w:rsidR="003C11ED" w:rsidRPr="003A650D">
          <w:t>15</w:t>
        </w:r>
      </w:ins>
      <w:r w:rsidRPr="00CA5ADE">
        <w:rPr>
          <w:color w:val="000000"/>
        </w:rPr>
        <w:t>)</w:t>
      </w:r>
    </w:p>
    <w:p w:rsidR="0043631E" w:rsidRPr="00CA5ADE" w:rsidRDefault="00E86C33" w:rsidP="00340E25">
      <w:pPr>
        <w:pStyle w:val="Appendixtitle"/>
        <w:rPr>
          <w:color w:val="000000"/>
        </w:rPr>
      </w:pPr>
      <w:r w:rsidRPr="00CA5ADE">
        <w:rPr>
          <w:color w:val="000000"/>
        </w:rPr>
        <w:t>Disposiciones y Plan asociado para el servicio fijo por satélite en</w:t>
      </w:r>
      <w:r w:rsidRPr="00CA5ADE">
        <w:rPr>
          <w:color w:val="000000"/>
        </w:rPr>
        <w:br/>
        <w:t>las bandas de frecuencias 4</w:t>
      </w:r>
      <w:r w:rsidRPr="00CA5ADE">
        <w:rPr>
          <w:rFonts w:ascii="Tms Rmn" w:hAnsi="Tms Rmn"/>
          <w:color w:val="000000"/>
          <w:sz w:val="12"/>
        </w:rPr>
        <w:t> </w:t>
      </w:r>
      <w:r w:rsidRPr="00CA5ADE">
        <w:rPr>
          <w:color w:val="000000"/>
        </w:rPr>
        <w:t>500-4</w:t>
      </w:r>
      <w:r w:rsidRPr="00CA5ADE">
        <w:rPr>
          <w:rFonts w:ascii="Tms Rmn" w:hAnsi="Tms Rmn"/>
          <w:color w:val="000000"/>
          <w:sz w:val="12"/>
        </w:rPr>
        <w:t> </w:t>
      </w:r>
      <w:r w:rsidRPr="00CA5ADE">
        <w:rPr>
          <w:color w:val="000000"/>
        </w:rPr>
        <w:t>800 MHz, 6</w:t>
      </w:r>
      <w:r w:rsidRPr="00CA5ADE">
        <w:rPr>
          <w:rFonts w:ascii="Tms Rmn" w:hAnsi="Tms Rmn"/>
          <w:color w:val="000000"/>
          <w:sz w:val="12"/>
        </w:rPr>
        <w:t> </w:t>
      </w:r>
      <w:r w:rsidRPr="00CA5ADE">
        <w:rPr>
          <w:color w:val="000000"/>
        </w:rPr>
        <w:t>725-7</w:t>
      </w:r>
      <w:r w:rsidRPr="00CA5ADE">
        <w:rPr>
          <w:rFonts w:ascii="Tms Rmn" w:hAnsi="Tms Rmn"/>
          <w:color w:val="000000"/>
          <w:sz w:val="12"/>
        </w:rPr>
        <w:t> </w:t>
      </w:r>
      <w:r w:rsidRPr="00CA5ADE">
        <w:rPr>
          <w:color w:val="000000"/>
        </w:rPr>
        <w:t>025 MHz,</w:t>
      </w:r>
      <w:r w:rsidRPr="00CA5ADE">
        <w:rPr>
          <w:color w:val="000000"/>
        </w:rPr>
        <w:br/>
        <w:t>10,70-10,95 GHz, 11,20-11,45 GHz y 12,75-13,25 GHz</w:t>
      </w:r>
    </w:p>
    <w:p w:rsidR="00C65C13" w:rsidRDefault="00E86C33">
      <w:pPr>
        <w:pStyle w:val="Proposal"/>
      </w:pPr>
      <w:r>
        <w:t>MOD</w:t>
      </w:r>
      <w:r>
        <w:tab/>
        <w:t>AFCP/28A21A6/1</w:t>
      </w:r>
    </w:p>
    <w:p w:rsidR="0043631E" w:rsidRPr="00CA5ADE" w:rsidRDefault="00E86C33" w:rsidP="000C3D5D">
      <w:pPr>
        <w:pStyle w:val="AppArtNo"/>
        <w:rPr>
          <w:color w:val="000000"/>
        </w:rPr>
      </w:pPr>
      <w:r w:rsidRPr="00CA5ADE">
        <w:t>ARTÍCULO 6</w:t>
      </w:r>
      <w:r w:rsidRPr="00CA5ADE">
        <w:rPr>
          <w:sz w:val="16"/>
          <w:szCs w:val="16"/>
        </w:rPr>
        <w:t>     (Rev.CMR-</w:t>
      </w:r>
      <w:del w:id="8" w:author="Tsarapkina, Yulia" w:date="2015-09-28T10:16:00Z">
        <w:r w:rsidR="000C3D5D" w:rsidRPr="003A650D" w:rsidDel="00980F42">
          <w:rPr>
            <w:caps w:val="0"/>
            <w:sz w:val="16"/>
            <w:szCs w:val="16"/>
          </w:rPr>
          <w:delText>12</w:delText>
        </w:r>
      </w:del>
      <w:ins w:id="9" w:author="Tsarapkina, Yulia" w:date="2015-09-28T10:16:00Z">
        <w:r w:rsidR="000C3D5D" w:rsidRPr="003A650D">
          <w:rPr>
            <w:caps w:val="0"/>
            <w:sz w:val="16"/>
            <w:szCs w:val="16"/>
          </w:rPr>
          <w:t>15</w:t>
        </w:r>
      </w:ins>
      <w:r w:rsidRPr="00CA5ADE">
        <w:rPr>
          <w:sz w:val="16"/>
          <w:szCs w:val="16"/>
        </w:rPr>
        <w:t>)</w:t>
      </w:r>
    </w:p>
    <w:p w:rsidR="0043631E" w:rsidRPr="00CA5ADE" w:rsidRDefault="00E86C33" w:rsidP="001C0E08">
      <w:pPr>
        <w:pStyle w:val="AppArttitle"/>
        <w:keepNext w:val="0"/>
        <w:keepLines w:val="0"/>
      </w:pPr>
      <w:r w:rsidRPr="00CA5ADE">
        <w:t>Procedimiento para la conversión de una adjudicación en una asignación,</w:t>
      </w:r>
      <w:r w:rsidRPr="00CA5ADE">
        <w:br/>
        <w:t>la introducción de un sistema adicional o la modificación</w:t>
      </w:r>
      <w:r w:rsidRPr="00CA5ADE">
        <w:br/>
        <w:t>de una asignación inscrita en la Lista</w:t>
      </w:r>
      <w:r w:rsidR="001C0E08" w:rsidRPr="003A650D">
        <w:rPr>
          <w:rStyle w:val="FootnoteReference"/>
          <w:b w:val="0"/>
          <w:bCs/>
        </w:rPr>
        <w:t>1, 2</w:t>
      </w:r>
      <w:r w:rsidRPr="00CA5ADE">
        <w:rPr>
          <w:b w:val="0"/>
          <w:bCs/>
          <w:sz w:val="16"/>
        </w:rPr>
        <w:t>     (</w:t>
      </w:r>
      <w:ins w:id="10" w:author="Tsarapkina, Yulia" w:date="2015-09-28T10:16:00Z">
        <w:r w:rsidR="000C3D5D" w:rsidRPr="003A650D">
          <w:rPr>
            <w:b w:val="0"/>
            <w:bCs/>
            <w:sz w:val="16"/>
            <w:szCs w:val="16"/>
          </w:rPr>
          <w:t>Rev.</w:t>
        </w:r>
      </w:ins>
      <w:r w:rsidRPr="00CA5ADE">
        <w:rPr>
          <w:b w:val="0"/>
          <w:bCs/>
          <w:sz w:val="16"/>
        </w:rPr>
        <w:t>CMR-</w:t>
      </w:r>
      <w:del w:id="11" w:author="Tsarapkina, Yulia" w:date="2015-09-28T10:16:00Z">
        <w:r w:rsidR="000C3D5D" w:rsidRPr="003A650D" w:rsidDel="00980F42">
          <w:rPr>
            <w:b w:val="0"/>
            <w:bCs/>
            <w:sz w:val="16"/>
            <w:szCs w:val="16"/>
          </w:rPr>
          <w:delText>07</w:delText>
        </w:r>
      </w:del>
      <w:ins w:id="12" w:author="Tsarapkina, Yulia" w:date="2015-09-28T10:16:00Z">
        <w:r w:rsidR="000C3D5D" w:rsidRPr="003A650D">
          <w:rPr>
            <w:b w:val="0"/>
            <w:bCs/>
            <w:sz w:val="16"/>
            <w:szCs w:val="16"/>
          </w:rPr>
          <w:t>15</w:t>
        </w:r>
      </w:ins>
      <w:r w:rsidRPr="00CA5ADE">
        <w:rPr>
          <w:b w:val="0"/>
          <w:bCs/>
          <w:sz w:val="16"/>
        </w:rPr>
        <w:t>)</w:t>
      </w:r>
    </w:p>
    <w:p w:rsidR="0043631E" w:rsidRPr="00CA5ADE" w:rsidRDefault="00E86C33" w:rsidP="00340E25">
      <w:pPr>
        <w:keepNext/>
        <w:rPr>
          <w:bCs/>
        </w:rPr>
      </w:pPr>
      <w:r w:rsidRPr="00CA5ADE">
        <w:rPr>
          <w:bCs/>
        </w:rPr>
        <w:t>6.33</w:t>
      </w:r>
    </w:p>
    <w:p w:rsidR="0043631E" w:rsidRPr="00CA5ADE" w:rsidRDefault="00E86C33" w:rsidP="00340E25">
      <w:pPr>
        <w:rPr>
          <w:lang w:eastAsia="fr-FR"/>
        </w:rPr>
      </w:pPr>
      <w:r w:rsidRPr="00CA5ADE">
        <w:rPr>
          <w:lang w:eastAsia="fr-FR"/>
        </w:rPr>
        <w:t>Cuando:</w:t>
      </w:r>
    </w:p>
    <w:p w:rsidR="0043631E" w:rsidRPr="00CA5ADE" w:rsidRDefault="00E86C33" w:rsidP="004F5E70">
      <w:pPr>
        <w:pStyle w:val="enumlev1"/>
        <w:rPr>
          <w:lang w:eastAsia="zh-CN"/>
        </w:rPr>
      </w:pPr>
      <w:r w:rsidRPr="00CA5ADE">
        <w:t>i)</w:t>
      </w:r>
      <w:r w:rsidRPr="00CA5ADE">
        <w:tab/>
        <w:t>una asignación ya no sea necesaria;</w:t>
      </w:r>
      <w:r w:rsidRPr="00CA5ADE">
        <w:rPr>
          <w:lang w:eastAsia="zh-CN"/>
        </w:rPr>
        <w:t xml:space="preserve"> </w:t>
      </w:r>
      <w:r w:rsidRPr="00CA5ADE">
        <w:rPr>
          <w:i/>
          <w:iCs/>
          <w:lang w:eastAsia="zh-CN"/>
        </w:rPr>
        <w:t>o</w:t>
      </w:r>
    </w:p>
    <w:p w:rsidR="0043631E" w:rsidRPr="00CA5ADE" w:rsidRDefault="00E86C33">
      <w:pPr>
        <w:pStyle w:val="enumlev1"/>
        <w:rPr>
          <w:lang w:eastAsia="zh-CN"/>
        </w:rPr>
        <w:pPrChange w:id="13" w:author="Mendoza Siles, Sidma Jeanneth" w:date="2015-10-02T11:29:00Z">
          <w:pPr>
            <w:pStyle w:val="enumlev1"/>
            <w:spacing w:line="480" w:lineRule="auto"/>
          </w:pPr>
        </w:pPrChange>
      </w:pPr>
      <w:r w:rsidRPr="00CA5ADE">
        <w:t>ii)</w:t>
      </w:r>
      <w:r w:rsidRPr="00CA5ADE">
        <w:tab/>
        <w:t xml:space="preserve">una asignación inscrita en la Lista y puesta en servicio se haya suspendido por un periodo superior a </w:t>
      </w:r>
      <w:del w:id="14" w:author="Mendoza Siles, Sidma Jeanneth" w:date="2015-10-02T11:29:00Z">
        <w:r w:rsidRPr="00CA5ADE" w:rsidDel="000E1C52">
          <w:delText>dos</w:delText>
        </w:r>
      </w:del>
      <w:ins w:id="15" w:author="Mendoza Siles, Sidma Jeanneth" w:date="2015-10-02T11:29:00Z">
        <w:r w:rsidR="000E1C52">
          <w:t xml:space="preserve"> tres</w:t>
        </w:r>
      </w:ins>
      <w:r w:rsidRPr="00CA5ADE">
        <w:t xml:space="preserve"> años que finaliza después de la fecha especificada en el § 6.31;</w:t>
      </w:r>
      <w:r w:rsidRPr="00CA5ADE">
        <w:rPr>
          <w:lang w:eastAsia="zh-CN"/>
        </w:rPr>
        <w:t xml:space="preserve"> </w:t>
      </w:r>
      <w:r w:rsidRPr="00CA5ADE">
        <w:rPr>
          <w:i/>
          <w:iCs/>
          <w:lang w:eastAsia="zh-CN"/>
        </w:rPr>
        <w:t>o</w:t>
      </w:r>
    </w:p>
    <w:p w:rsidR="0043631E" w:rsidRPr="00CA5ADE" w:rsidRDefault="00E86C33" w:rsidP="004F5E70">
      <w:pPr>
        <w:pStyle w:val="enumlev1"/>
      </w:pPr>
      <w:r w:rsidRPr="00CA5ADE">
        <w:t>iii)</w:t>
      </w:r>
      <w:r w:rsidRPr="00CA5ADE">
        <w:tab/>
      </w:r>
      <w:r w:rsidRPr="00CA5ADE">
        <w:rPr>
          <w:rFonts w:eastAsia="SimSun"/>
          <w:lang w:eastAsia="zh-CN"/>
        </w:rPr>
        <w:t xml:space="preserve">una asignación inscrita en la Lista no se haya puesto en servicio en el plazo de ocho años después de que la Oficina haya recibido la información completa pertinente de </w:t>
      </w:r>
      <w:r w:rsidRPr="00CA5ADE">
        <w:rPr>
          <w:rFonts w:eastAsia="SimSun"/>
        </w:rPr>
        <w:t>conformidad</w:t>
      </w:r>
      <w:r w:rsidRPr="00CA5ADE">
        <w:rPr>
          <w:rFonts w:eastAsia="SimSun"/>
          <w:lang w:eastAsia="zh-CN"/>
        </w:rPr>
        <w:t xml:space="preserve"> con el</w:t>
      </w:r>
      <w:r w:rsidRPr="00CA5ADE">
        <w:rPr>
          <w:rFonts w:eastAsia="SimSun"/>
          <w:sz w:val="28"/>
          <w:szCs w:val="28"/>
          <w:lang w:eastAsia="zh-CN"/>
        </w:rPr>
        <w:t xml:space="preserve"> </w:t>
      </w:r>
      <w:r w:rsidRPr="00CA5ADE">
        <w:rPr>
          <w:rFonts w:eastAsia="SimSun"/>
          <w:lang w:eastAsia="zh-CN"/>
        </w:rPr>
        <w:t>§ 6.1 (o tras el periodo de prórroga con arreglo al § 6.31</w:t>
      </w:r>
      <w:r w:rsidRPr="00CA5ADE">
        <w:rPr>
          <w:rFonts w:eastAsia="SimSun"/>
          <w:i/>
          <w:iCs/>
          <w:lang w:eastAsia="zh-CN"/>
        </w:rPr>
        <w:t>bis</w:t>
      </w:r>
      <w:r w:rsidRPr="00CA5ADE">
        <w:rPr>
          <w:rFonts w:eastAsia="SimSun"/>
          <w:lang w:eastAsia="zh-CN"/>
        </w:rPr>
        <w:t>), a excepción de las asignaciones presentadas por nuevos Estados Miembros a los que se aplican los § 6.35 y 7.7,</w:t>
      </w:r>
    </w:p>
    <w:p w:rsidR="0043631E" w:rsidRPr="00CA5ADE" w:rsidRDefault="00E86C33" w:rsidP="00340E25">
      <w:pPr>
        <w:rPr>
          <w:lang w:eastAsia="fr-FR"/>
        </w:rPr>
      </w:pPr>
      <w:r w:rsidRPr="00CA5ADE">
        <w:rPr>
          <w:lang w:eastAsia="fr-FR"/>
        </w:rPr>
        <w:t>la Oficina:</w:t>
      </w:r>
    </w:p>
    <w:p w:rsidR="0043631E" w:rsidRPr="00CA5ADE" w:rsidRDefault="00E86C33" w:rsidP="004F5E70">
      <w:pPr>
        <w:pStyle w:val="enumlev1"/>
      </w:pPr>
      <w:r w:rsidRPr="00CA5ADE">
        <w:rPr>
          <w:i/>
          <w:iCs/>
        </w:rPr>
        <w:t>a)</w:t>
      </w:r>
      <w:r w:rsidRPr="00CA5ADE">
        <w:tab/>
        <w:t>publicará en una Sección Especial de su BR IFIC la cancelación de las Secciones Especiales correspondientes y de las asignaciones inscritas en la Lista del Apéndice </w:t>
      </w:r>
      <w:r w:rsidRPr="00CA5ADE">
        <w:rPr>
          <w:rStyle w:val="Appref"/>
          <w:b/>
          <w:bCs/>
        </w:rPr>
        <w:t>30B</w:t>
      </w:r>
      <w:r w:rsidRPr="00CA5ADE">
        <w:t>;</w:t>
      </w:r>
    </w:p>
    <w:p w:rsidR="0043631E" w:rsidRPr="00CA5ADE" w:rsidRDefault="00E86C33" w:rsidP="004F5E70">
      <w:pPr>
        <w:pStyle w:val="enumlev1"/>
      </w:pPr>
      <w:r w:rsidRPr="00CA5ADE">
        <w:rPr>
          <w:i/>
          <w:iCs/>
        </w:rPr>
        <w:t>b)</w:t>
      </w:r>
      <w:r w:rsidRPr="00CA5ADE">
        <w:tab/>
        <w:t>si la asignación cancelada es el resultado de la conversión de una adjudicación sin modificaciones, reincorporará la adjudicación en el Plan del Apéndice </w:t>
      </w:r>
      <w:r w:rsidRPr="00CA5ADE">
        <w:rPr>
          <w:rStyle w:val="Appref"/>
          <w:b/>
          <w:bCs/>
        </w:rPr>
        <w:t>30B</w:t>
      </w:r>
      <w:r w:rsidRPr="00CA5ADE">
        <w:t>;</w:t>
      </w:r>
    </w:p>
    <w:p w:rsidR="0043631E" w:rsidRPr="00CA5ADE" w:rsidRDefault="00E86C33" w:rsidP="00340E25">
      <w:pPr>
        <w:pStyle w:val="enumlev1"/>
      </w:pPr>
      <w:r w:rsidRPr="00CA5ADE">
        <w:rPr>
          <w:i/>
          <w:iCs/>
        </w:rPr>
        <w:t>c)</w:t>
      </w:r>
      <w:r w:rsidRPr="00CA5ADE">
        <w:rPr>
          <w:i/>
        </w:rPr>
        <w:tab/>
      </w:r>
      <w:r w:rsidRPr="00CA5ADE">
        <w:t xml:space="preserve">si la asignación cancelada es el resultado de la conversión de una adjudicación con modificaciones, reincorporará la adjudicación con la misma posición orbital y los mismos parámetros técnicos de la asignación cancelada, salvo la zona de servicio, que será el territorio nacional de la administración cuya adjudicación se reincorpora; </w:t>
      </w:r>
      <w:r w:rsidRPr="00CA5ADE">
        <w:rPr>
          <w:i/>
          <w:iCs/>
        </w:rPr>
        <w:t>y</w:t>
      </w:r>
    </w:p>
    <w:p w:rsidR="0043631E" w:rsidRPr="000E1C52" w:rsidRDefault="00E86C33">
      <w:pPr>
        <w:pStyle w:val="enumlev1"/>
        <w:rPr>
          <w:lang w:val="en-US"/>
        </w:rPr>
      </w:pPr>
      <w:r w:rsidRPr="00CA5ADE">
        <w:rPr>
          <w:i/>
          <w:lang w:eastAsia="fr-FR"/>
        </w:rPr>
        <w:t>d)</w:t>
      </w:r>
      <w:r w:rsidRPr="00CA5ADE">
        <w:rPr>
          <w:lang w:eastAsia="fr-FR"/>
        </w:rPr>
        <w:tab/>
        <w:t>actualizará la situación de referencia de las adjudicaciones del Plan y las asignaciones de la Lista.</w:t>
      </w:r>
      <w:r w:rsidRPr="00CA5ADE">
        <w:rPr>
          <w:color w:val="000000"/>
          <w:sz w:val="16"/>
          <w:szCs w:val="16"/>
        </w:rPr>
        <w:t>     </w:t>
      </w:r>
      <w:r w:rsidRPr="000E1C52">
        <w:rPr>
          <w:color w:val="000000"/>
          <w:sz w:val="16"/>
          <w:szCs w:val="16"/>
          <w:lang w:val="en-US"/>
        </w:rPr>
        <w:t>(CMR-</w:t>
      </w:r>
      <w:del w:id="16" w:author="Mendoza Siles, Sidma Jeanneth" w:date="2015-10-02T11:34:00Z">
        <w:r w:rsidRPr="000E1C52" w:rsidDel="00886847">
          <w:rPr>
            <w:color w:val="000000"/>
            <w:sz w:val="16"/>
            <w:szCs w:val="16"/>
            <w:lang w:val="en-US"/>
          </w:rPr>
          <w:delText>12</w:delText>
        </w:r>
      </w:del>
      <w:ins w:id="17" w:author="Mendoza Siles, Sidma Jeanneth" w:date="2015-10-02T11:34:00Z">
        <w:r w:rsidR="00886847">
          <w:rPr>
            <w:color w:val="000000"/>
            <w:sz w:val="16"/>
            <w:szCs w:val="16"/>
            <w:lang w:val="en-US"/>
          </w:rPr>
          <w:t>15</w:t>
        </w:r>
      </w:ins>
      <w:r w:rsidRPr="000E1C52">
        <w:rPr>
          <w:color w:val="000000"/>
          <w:sz w:val="16"/>
          <w:szCs w:val="16"/>
          <w:lang w:val="en-US"/>
        </w:rPr>
        <w:t>)</w:t>
      </w:r>
    </w:p>
    <w:p w:rsidR="00C65C13" w:rsidRPr="000E1C52" w:rsidRDefault="00E86C33" w:rsidP="000E1C52">
      <w:pPr>
        <w:pStyle w:val="Reasons"/>
        <w:spacing w:line="480" w:lineRule="auto"/>
      </w:pPr>
      <w:r w:rsidRPr="000E1C52">
        <w:rPr>
          <w:b/>
        </w:rPr>
        <w:t>Motivos:</w:t>
      </w:r>
      <w:r w:rsidRPr="000E1C52">
        <w:tab/>
      </w:r>
      <w:r w:rsidR="000E1C52" w:rsidRPr="000E1C52">
        <w:t>Mejorar la reglamentación de satélites</w:t>
      </w:r>
      <w:r w:rsidR="002948AE" w:rsidRPr="000E1C52">
        <w:t>.</w:t>
      </w:r>
    </w:p>
    <w:p w:rsidR="00C65C13" w:rsidRPr="000E1C52" w:rsidRDefault="00E86C33">
      <w:pPr>
        <w:pStyle w:val="Proposal"/>
        <w:rPr>
          <w:lang w:val="en-US"/>
        </w:rPr>
      </w:pPr>
      <w:r w:rsidRPr="000E1C52">
        <w:rPr>
          <w:lang w:val="en-US"/>
        </w:rPr>
        <w:lastRenderedPageBreak/>
        <w:t>MOD</w:t>
      </w:r>
      <w:r w:rsidRPr="000E1C52">
        <w:rPr>
          <w:lang w:val="en-US"/>
        </w:rPr>
        <w:tab/>
        <w:t>AFCP/28A21A6/2</w:t>
      </w:r>
    </w:p>
    <w:p w:rsidR="0043631E" w:rsidRPr="00CA5ADE" w:rsidRDefault="00E86C33" w:rsidP="00CA0045">
      <w:pPr>
        <w:pStyle w:val="AppArtNo"/>
        <w:rPr>
          <w:color w:val="000000"/>
        </w:rPr>
      </w:pPr>
      <w:r w:rsidRPr="00CA5ADE">
        <w:t>ARTÍCULO 8</w:t>
      </w:r>
      <w:r w:rsidRPr="00CA5ADE">
        <w:rPr>
          <w:sz w:val="16"/>
          <w:szCs w:val="16"/>
        </w:rPr>
        <w:t>     (</w:t>
      </w:r>
      <w:r w:rsidRPr="00CA5ADE">
        <w:rPr>
          <w:caps w:val="0"/>
          <w:sz w:val="16"/>
          <w:szCs w:val="16"/>
        </w:rPr>
        <w:t>R</w:t>
      </w:r>
      <w:r w:rsidRPr="00CA5ADE">
        <w:rPr>
          <w:sz w:val="16"/>
          <w:szCs w:val="16"/>
        </w:rPr>
        <w:t>ev.CMR-</w:t>
      </w:r>
      <w:del w:id="18" w:author="Tsarapkina, Yulia" w:date="2015-09-28T10:19:00Z">
        <w:r w:rsidR="00CA0045" w:rsidRPr="003A650D" w:rsidDel="00980F42">
          <w:rPr>
            <w:caps w:val="0"/>
            <w:sz w:val="16"/>
            <w:szCs w:val="16"/>
          </w:rPr>
          <w:delText>12</w:delText>
        </w:r>
      </w:del>
      <w:ins w:id="19" w:author="Tsarapkina, Yulia" w:date="2015-09-28T10:19:00Z">
        <w:r w:rsidR="00CA0045" w:rsidRPr="003A650D">
          <w:rPr>
            <w:caps w:val="0"/>
            <w:sz w:val="16"/>
            <w:szCs w:val="16"/>
          </w:rPr>
          <w:t>15</w:t>
        </w:r>
      </w:ins>
      <w:r w:rsidRPr="00CA5ADE">
        <w:rPr>
          <w:sz w:val="16"/>
          <w:szCs w:val="16"/>
        </w:rPr>
        <w:t>)</w:t>
      </w:r>
    </w:p>
    <w:p w:rsidR="0043631E" w:rsidRPr="00CA5ADE" w:rsidRDefault="00E86C33" w:rsidP="00CA0045">
      <w:pPr>
        <w:pStyle w:val="AppArttitle"/>
      </w:pPr>
      <w:r w:rsidRPr="00CA5ADE">
        <w:t>Procedimiento para la notificación e inscripción en el Registro</w:t>
      </w:r>
      <w:r w:rsidRPr="00CA5ADE">
        <w:br/>
        <w:t>de asignaciones en las bandas planificadas para</w:t>
      </w:r>
      <w:r w:rsidRPr="00CA5ADE">
        <w:br/>
        <w:t>el servicio fijo por satélite</w:t>
      </w:r>
      <w:r w:rsidRPr="00CA5ADE">
        <w:rPr>
          <w:rStyle w:val="FootnoteReference"/>
          <w:b w:val="0"/>
          <w:bCs/>
        </w:rPr>
        <w:t>11,</w:t>
      </w:r>
      <w:r w:rsidRPr="00CA5ADE">
        <w:rPr>
          <w:b w:val="0"/>
          <w:sz w:val="16"/>
          <w:szCs w:val="16"/>
          <w:shd w:val="clear" w:color="auto" w:fill="FFFFFF"/>
        </w:rPr>
        <w:t xml:space="preserve"> </w:t>
      </w:r>
      <w:r w:rsidRPr="00CA5ADE">
        <w:rPr>
          <w:rStyle w:val="FootnoteReference"/>
          <w:b w:val="0"/>
          <w:bCs/>
        </w:rPr>
        <w:t>12</w:t>
      </w:r>
      <w:r w:rsidRPr="00CA5ADE">
        <w:rPr>
          <w:b w:val="0"/>
          <w:color w:val="000000"/>
          <w:sz w:val="16"/>
          <w:szCs w:val="16"/>
        </w:rPr>
        <w:t>     (</w:t>
      </w:r>
      <w:ins w:id="20" w:author="Tsarapkina, Yulia" w:date="2015-09-28T10:19:00Z">
        <w:r w:rsidR="00CA0045" w:rsidRPr="003A650D">
          <w:rPr>
            <w:b w:val="0"/>
            <w:bCs/>
            <w:sz w:val="16"/>
            <w:szCs w:val="16"/>
          </w:rPr>
          <w:t>Rev.</w:t>
        </w:r>
      </w:ins>
      <w:r w:rsidRPr="00CA5ADE">
        <w:rPr>
          <w:b w:val="0"/>
          <w:color w:val="000000"/>
          <w:sz w:val="16"/>
          <w:szCs w:val="16"/>
        </w:rPr>
        <w:t>CMR</w:t>
      </w:r>
      <w:r w:rsidRPr="00CA5ADE">
        <w:rPr>
          <w:b w:val="0"/>
          <w:color w:val="000000"/>
          <w:sz w:val="16"/>
          <w:szCs w:val="16"/>
        </w:rPr>
        <w:noBreakHyphen/>
      </w:r>
      <w:del w:id="21" w:author="Tsarapkina, Yulia" w:date="2015-09-28T10:19:00Z">
        <w:r w:rsidR="00CA0045" w:rsidRPr="003A650D" w:rsidDel="00980F42">
          <w:rPr>
            <w:b w:val="0"/>
            <w:bCs/>
            <w:sz w:val="16"/>
            <w:szCs w:val="16"/>
          </w:rPr>
          <w:delText>07</w:delText>
        </w:r>
      </w:del>
      <w:ins w:id="22" w:author="Tsarapkina, Yulia" w:date="2015-09-28T10:19:00Z">
        <w:r w:rsidR="00CA0045" w:rsidRPr="003A650D">
          <w:rPr>
            <w:b w:val="0"/>
            <w:bCs/>
            <w:sz w:val="16"/>
            <w:szCs w:val="16"/>
          </w:rPr>
          <w:t>15</w:t>
        </w:r>
      </w:ins>
      <w:r w:rsidRPr="00CA5ADE">
        <w:rPr>
          <w:b w:val="0"/>
          <w:color w:val="000000"/>
          <w:sz w:val="16"/>
          <w:szCs w:val="16"/>
        </w:rPr>
        <w:t>)</w:t>
      </w:r>
    </w:p>
    <w:p w:rsidR="0043631E" w:rsidRPr="00CA5ADE" w:rsidRDefault="00E86C33" w:rsidP="004207AF">
      <w:r w:rsidRPr="00CA5ADE">
        <w:rPr>
          <w:bCs/>
        </w:rPr>
        <w:t>8.17</w:t>
      </w:r>
      <w:r w:rsidRPr="00CA5ADE">
        <w:rPr>
          <w:bCs/>
        </w:rPr>
        <w:tab/>
      </w:r>
      <w:r w:rsidR="004207AF" w:rsidRPr="005723F0">
        <w:t xml:space="preserve">Cuando se suspenda la utilización de una asignación </w:t>
      </w:r>
      <w:ins w:id="23" w:author="Pons Calatayud, Jose Tomas" w:date="2015-01-09T09:29:00Z">
        <w:r w:rsidR="004207AF" w:rsidRPr="005723F0">
          <w:t xml:space="preserve">de frecuencias </w:t>
        </w:r>
      </w:ins>
      <w:r w:rsidR="004207AF" w:rsidRPr="005723F0">
        <w:t xml:space="preserve">a una estación espacial inscrita </w:t>
      </w:r>
      <w:ins w:id="24" w:author="Pons Calatayud, Jose Tomas" w:date="2015-01-09T09:29:00Z">
        <w:r w:rsidR="004207AF" w:rsidRPr="005723F0">
          <w:t xml:space="preserve">en el Registro </w:t>
        </w:r>
      </w:ins>
      <w:r w:rsidR="004207AF" w:rsidRPr="005723F0">
        <w:t xml:space="preserve">durante un periodo no superior a </w:t>
      </w:r>
      <w:del w:id="25" w:author="Pons Calatayud, Jose Tomas" w:date="2015-01-09T09:29:00Z">
        <w:r w:rsidR="004207AF" w:rsidRPr="005723F0" w:rsidDel="00577FF2">
          <w:delText xml:space="preserve">dieciocho </w:delText>
        </w:r>
      </w:del>
      <w:ins w:id="26" w:author="Pons Calatayud, Jose Tomas" w:date="2015-01-09T09:29:00Z">
        <w:r w:rsidR="004207AF" w:rsidRPr="005723F0">
          <w:t xml:space="preserve">seis </w:t>
        </w:r>
      </w:ins>
      <w:r w:rsidR="004207AF" w:rsidRPr="005723F0">
        <w:t>meses, la administración notificante informará lo antes posible a la Oficina de la fecha en que se suspendió dicha utilización</w:t>
      </w:r>
      <w:ins w:id="27" w:author="Pons Calatayud, Jose Tomas" w:date="2015-01-09T09:30:00Z">
        <w:r w:rsidR="004207AF" w:rsidRPr="005723F0">
          <w:t xml:space="preserve">, pero </w:t>
        </w:r>
      </w:ins>
      <w:ins w:id="28" w:author="Pons Calatayud, Jose Tomas" w:date="2015-01-09T10:01:00Z">
        <w:r w:rsidR="004207AF" w:rsidRPr="005723F0">
          <w:t>en un plazo máximo de</w:t>
        </w:r>
      </w:ins>
      <w:ins w:id="29" w:author="Pons Calatayud, Jose Tomas" w:date="2015-01-09T09:30:00Z">
        <w:r w:rsidR="004207AF" w:rsidRPr="005723F0">
          <w:t xml:space="preserve"> seis meses desde dicha suspensión</w:t>
        </w:r>
      </w:ins>
      <w:del w:id="30" w:author="Pons Calatayud, Jose Tomas" w:date="2015-01-09T09:31:00Z">
        <w:r w:rsidR="004207AF" w:rsidRPr="005723F0" w:rsidDel="00577FF2">
          <w:delText xml:space="preserve"> y de la fecha en que la asignación volverá a ponerse en servicio regular</w:delText>
        </w:r>
      </w:del>
      <w:r w:rsidR="004207AF" w:rsidRPr="005723F0">
        <w:t xml:space="preserve">. </w:t>
      </w:r>
      <w:ins w:id="31" w:author="Pons Calatayud, Jose Tomas" w:date="2015-01-09T09:31:00Z">
        <w:r w:rsidR="004207AF" w:rsidRPr="005723F0">
          <w:t xml:space="preserve">Cuando la asignación inscrita vuelva a ponerse en servicio, la administración notificante deberá comunicarlo a la Oficina cuanto antes. </w:t>
        </w:r>
      </w:ins>
      <w:del w:id="32" w:author="Pons Calatayud, Jose Tomas" w:date="2015-01-09T09:32:00Z">
        <w:r w:rsidR="004207AF" w:rsidRPr="005723F0" w:rsidDel="00577FF2">
          <w:delText xml:space="preserve">Esta última </w:delText>
        </w:r>
      </w:del>
      <w:del w:id="33" w:author="Pons Calatayud, Jose Tomas" w:date="2015-01-09T10:02:00Z">
        <w:r w:rsidR="004207AF" w:rsidRPr="005723F0" w:rsidDel="00FA1FA0">
          <w:delText xml:space="preserve">fecha </w:delText>
        </w:r>
      </w:del>
      <w:ins w:id="34" w:author="Pons Calatayud, Jose Tomas" w:date="2015-01-09T09:32:00Z">
        <w:r w:rsidR="004207AF" w:rsidRPr="005723F0">
          <w:t xml:space="preserve">La asignación </w:t>
        </w:r>
      </w:ins>
      <w:ins w:id="35" w:author="Pons Calatayud, Jose Tomas" w:date="2015-01-09T10:03:00Z">
        <w:r w:rsidR="004207AF" w:rsidRPr="005723F0">
          <w:t xml:space="preserve">de frecuencias </w:t>
        </w:r>
      </w:ins>
      <w:ins w:id="36" w:author="Pons Calatayud, Jose Tomas" w:date="2015-01-09T09:32:00Z">
        <w:r w:rsidR="004207AF" w:rsidRPr="005723F0">
          <w:t xml:space="preserve">inscrita </w:t>
        </w:r>
      </w:ins>
      <w:ins w:id="37" w:author="Pons Calatayud, Jose Tomas" w:date="2015-01-09T10:03:00Z">
        <w:r w:rsidR="004207AF" w:rsidRPr="005723F0">
          <w:t xml:space="preserve">deberá ponerse </w:t>
        </w:r>
      </w:ins>
      <w:ins w:id="38" w:author="Pons Calatayud, Jose Tomas" w:date="2015-01-09T09:32:00Z">
        <w:r w:rsidR="004207AF" w:rsidRPr="005723F0">
          <w:t>de nuevo en servicio</w:t>
        </w:r>
      </w:ins>
      <w:ins w:id="39" w:author="Christe-Baldan, Susana" w:date="2015-04-09T14:06:00Z">
        <w:r w:rsidR="004207AF">
          <w:t> </w:t>
        </w:r>
      </w:ins>
      <w:ins w:id="40" w:author="Pons Calatayud, Jose Tomas" w:date="2015-01-09T09:32:00Z">
        <w:r w:rsidR="004207AF" w:rsidRPr="005723F0">
          <w:rPr>
            <w:vertAlign w:val="superscript"/>
          </w:rPr>
          <w:t>ADD 14</w:t>
        </w:r>
        <w:r w:rsidR="004207AF" w:rsidRPr="005723F0">
          <w:rPr>
            <w:i/>
            <w:iCs/>
            <w:vertAlign w:val="superscript"/>
          </w:rPr>
          <w:t>bis</w:t>
        </w:r>
        <w:r w:rsidR="004207AF" w:rsidRPr="005723F0">
          <w:rPr>
            <w:color w:val="000000"/>
          </w:rPr>
          <w:t xml:space="preserve"> </w:t>
        </w:r>
      </w:ins>
      <w:del w:id="41" w:author="Pons Calatayud, Jose Tomas" w:date="2015-01-09T10:02:00Z">
        <w:r w:rsidR="004207AF" w:rsidRPr="005723F0" w:rsidDel="00FA1FA0">
          <w:delText xml:space="preserve">no rebasará los </w:delText>
        </w:r>
      </w:del>
      <w:ins w:id="42" w:author="Pons Calatayud, Jose Tomas" w:date="2015-01-09T10:02:00Z">
        <w:r w:rsidR="004207AF" w:rsidRPr="005723F0">
          <w:t xml:space="preserve">antes de cumplirse </w:t>
        </w:r>
      </w:ins>
      <w:del w:id="43" w:author="Pons Calatayud, Jose Tomas" w:date="2015-01-09T09:33:00Z">
        <w:r w:rsidR="004207AF" w:rsidRPr="005723F0" w:rsidDel="00577FF2">
          <w:delText xml:space="preserve">dos </w:delText>
        </w:r>
      </w:del>
      <w:ins w:id="44" w:author="Pons Calatayud, Jose Tomas" w:date="2015-01-09T09:33:00Z">
        <w:r w:rsidR="004207AF" w:rsidRPr="005723F0">
          <w:t xml:space="preserve">tres </w:t>
        </w:r>
      </w:ins>
      <w:r w:rsidR="004207AF" w:rsidRPr="005723F0">
        <w:t xml:space="preserve">años </w:t>
      </w:r>
      <w:del w:id="45" w:author="Pons Calatayud, Jose Tomas" w:date="2015-01-09T10:02:00Z">
        <w:r w:rsidR="004207AF" w:rsidRPr="005723F0" w:rsidDel="00FA1FA0">
          <w:delText xml:space="preserve">respecto a </w:delText>
        </w:r>
      </w:del>
      <w:ins w:id="46" w:author="Pons Calatayud, Jose Tomas" w:date="2015-01-09T10:02:00Z">
        <w:r w:rsidR="004207AF" w:rsidRPr="005723F0">
          <w:t xml:space="preserve">desde </w:t>
        </w:r>
      </w:ins>
      <w:r w:rsidR="004207AF" w:rsidRPr="005723F0">
        <w:t>la fecha de suspensión.</w:t>
      </w:r>
      <w:r w:rsidR="004207AF" w:rsidRPr="005723F0">
        <w:rPr>
          <w:sz w:val="16"/>
        </w:rPr>
        <w:t> </w:t>
      </w:r>
      <w:r w:rsidR="004207AF" w:rsidRPr="005723F0">
        <w:t xml:space="preserve">Si la asignación </w:t>
      </w:r>
      <w:ins w:id="47" w:author="Pons Calatayud, Jose Tomas" w:date="2015-01-09T09:33:00Z">
        <w:r w:rsidR="004207AF" w:rsidRPr="005723F0">
          <w:t xml:space="preserve">de frecuencias inscrita </w:t>
        </w:r>
      </w:ins>
      <w:r w:rsidR="004207AF" w:rsidRPr="005723F0">
        <w:t xml:space="preserve">no se pone en servicio en el plazo de </w:t>
      </w:r>
      <w:del w:id="48" w:author="Pons Calatayud, Jose Tomas" w:date="2015-01-09T09:33:00Z">
        <w:r w:rsidR="004207AF" w:rsidRPr="005723F0" w:rsidDel="00577FF2">
          <w:delText xml:space="preserve">dos </w:delText>
        </w:r>
      </w:del>
      <w:ins w:id="49" w:author="Pons Calatayud, Jose Tomas" w:date="2015-01-09T09:33:00Z">
        <w:r w:rsidR="004207AF" w:rsidRPr="005723F0">
          <w:t xml:space="preserve">tres </w:t>
        </w:r>
      </w:ins>
      <w:r w:rsidR="004207AF" w:rsidRPr="005723F0">
        <w:t xml:space="preserve">años a partir de la fecha de suspensión, la Oficina </w:t>
      </w:r>
      <w:del w:id="50" w:author="Pons Calatayud, Jose Tomas" w:date="2015-01-09T09:33:00Z">
        <w:r w:rsidR="004207AF" w:rsidRPr="005723F0" w:rsidDel="00577FF2">
          <w:delText xml:space="preserve">cancelará </w:delText>
        </w:r>
      </w:del>
      <w:ins w:id="51" w:author="Pons Calatayud, Jose Tomas" w:date="2015-01-09T09:33:00Z">
        <w:r w:rsidR="004207AF" w:rsidRPr="005723F0">
          <w:t xml:space="preserve">suprimirá </w:t>
        </w:r>
      </w:ins>
      <w:r w:rsidR="004207AF" w:rsidRPr="005723F0">
        <w:t>la asignación del Registro Internacional y aplicará el § 6.33.</w:t>
      </w:r>
      <w:r w:rsidRPr="00CA5ADE">
        <w:rPr>
          <w:sz w:val="16"/>
        </w:rPr>
        <w:t>     (CMR-</w:t>
      </w:r>
      <w:del w:id="52" w:author="Gimenez, Christine" w:date="2015-09-21T15:30:00Z">
        <w:r w:rsidR="00B53568" w:rsidRPr="003A650D" w:rsidDel="00FB7EE2">
          <w:rPr>
            <w:sz w:val="16"/>
            <w:szCs w:val="16"/>
          </w:rPr>
          <w:delText>07</w:delText>
        </w:r>
      </w:del>
      <w:ins w:id="53" w:author="Gimenez, Christine" w:date="2015-09-21T15:30:00Z">
        <w:r w:rsidR="00B53568" w:rsidRPr="003A650D">
          <w:rPr>
            <w:sz w:val="16"/>
            <w:szCs w:val="16"/>
          </w:rPr>
          <w:t>15</w:t>
        </w:r>
      </w:ins>
      <w:r w:rsidRPr="00CA5ADE">
        <w:rPr>
          <w:sz w:val="16"/>
        </w:rPr>
        <w:t>)</w:t>
      </w:r>
    </w:p>
    <w:p w:rsidR="0043631E" w:rsidRPr="00CA5ADE" w:rsidRDefault="00E86C33" w:rsidP="004F5E70">
      <w:pPr>
        <w:rPr>
          <w:sz w:val="16"/>
        </w:rPr>
      </w:pPr>
      <w:r w:rsidRPr="00CA5ADE">
        <w:t>8.18</w:t>
      </w:r>
      <w:r w:rsidRPr="00CA5ADE">
        <w:tab/>
        <w:t>Ninguna disposición de este Apéndice se considerará que modifica los requisitos del Artículo </w:t>
      </w:r>
      <w:r w:rsidRPr="00CA5ADE">
        <w:rPr>
          <w:rStyle w:val="Appref"/>
          <w:b/>
          <w:bCs/>
          <w:color w:val="000000"/>
        </w:rPr>
        <w:t>9</w:t>
      </w:r>
      <w:r w:rsidRPr="00CA5ADE">
        <w:t xml:space="preserve"> en relación con la coordinación entre estaciones terrenas del servicio fijo por satélite y estaciones de los servicios terrenales que comparten las bandas planificadas con carácter primario e igualdad de derechos.</w:t>
      </w:r>
      <w:r w:rsidRPr="00CA5ADE">
        <w:rPr>
          <w:sz w:val="16"/>
        </w:rPr>
        <w:t>     (CMR-03)</w:t>
      </w:r>
    </w:p>
    <w:p w:rsidR="0043631E" w:rsidRPr="000E1C52" w:rsidRDefault="00E86C33" w:rsidP="004F5E70">
      <w:pPr>
        <w:rPr>
          <w:sz w:val="16"/>
        </w:rPr>
      </w:pPr>
      <w:r w:rsidRPr="00CA5ADE">
        <w:t>8.19</w:t>
      </w:r>
      <w:r w:rsidRPr="00CA5ADE">
        <w:tab/>
        <w:t>La notificación de las asignaciones a una estación terrena específica que utilice asignaciones incluidas en la Lista se efectuará aplicando las disposiciones del Artículo </w:t>
      </w:r>
      <w:r w:rsidRPr="00CA5ADE">
        <w:rPr>
          <w:rStyle w:val="Appref"/>
          <w:b/>
          <w:bCs/>
          <w:color w:val="000000"/>
        </w:rPr>
        <w:t>11</w:t>
      </w:r>
      <w:r w:rsidRPr="00CA5ADE">
        <w:t>.</w:t>
      </w:r>
      <w:r w:rsidRPr="00CA5ADE">
        <w:rPr>
          <w:sz w:val="16"/>
        </w:rPr>
        <w:t>      </w:t>
      </w:r>
      <w:r w:rsidRPr="000E1C52">
        <w:rPr>
          <w:sz w:val="16"/>
        </w:rPr>
        <w:t>(CMR</w:t>
      </w:r>
      <w:r w:rsidRPr="000E1C52">
        <w:rPr>
          <w:sz w:val="16"/>
        </w:rPr>
        <w:noBreakHyphen/>
        <w:t>03)</w:t>
      </w:r>
    </w:p>
    <w:p w:rsidR="00C65C13" w:rsidRPr="000E1C52" w:rsidRDefault="00C65C13">
      <w:pPr>
        <w:pStyle w:val="Reasons"/>
      </w:pPr>
      <w:bookmarkStart w:id="54" w:name="_GoBack"/>
      <w:bookmarkEnd w:id="54"/>
    </w:p>
    <w:p w:rsidR="00C65C13" w:rsidRPr="000E1C52" w:rsidRDefault="00E86C33">
      <w:pPr>
        <w:pStyle w:val="Proposal"/>
      </w:pPr>
      <w:r w:rsidRPr="000E1C52">
        <w:t>ADD</w:t>
      </w:r>
      <w:r w:rsidRPr="000E1C52">
        <w:tab/>
        <w:t>AFCP/28A21A6/3</w:t>
      </w:r>
    </w:p>
    <w:p w:rsidR="001C7BF2" w:rsidRPr="000E1C52" w:rsidRDefault="001C7BF2" w:rsidP="001C7BF2">
      <w:r w:rsidRPr="000E1C52">
        <w:t>_______________</w:t>
      </w:r>
    </w:p>
    <w:p w:rsidR="001C7BF2" w:rsidRPr="003A650D" w:rsidRDefault="001C7BF2" w:rsidP="001C7BF2">
      <w:pPr>
        <w:pStyle w:val="FootnoteText"/>
      </w:pPr>
      <w:r w:rsidRPr="001C7BF2">
        <w:rPr>
          <w:rStyle w:val="FootnoteReference"/>
        </w:rPr>
        <w:t>14</w:t>
      </w:r>
      <w:r w:rsidRPr="001C7BF2">
        <w:rPr>
          <w:rStyle w:val="FootnoteReference"/>
          <w:i/>
          <w:iCs/>
        </w:rPr>
        <w:t>bis</w:t>
      </w:r>
      <w:r w:rsidRPr="001C7BF2">
        <w:tab/>
      </w:r>
      <w:r w:rsidRPr="005723F0">
        <w:rPr>
          <w:color w:val="000000"/>
        </w:rPr>
        <w:t>La fecha de reanudación del funcionamiento de una asignación de frecuencias a una estación espacial en la órbita de los satélites geoestacionarios marcará el inicio del periodo de noventa días que se define a continuación. Se considerará que una asignación de frecuencias a una estación espacial en la órbita de los satélites geoestacionarios ha reanudado su funcionamiento cuando una estación espacial en la órbita de los satélites geoestacionarios con la capacidad de transmitir o recibir en esa asignación de frecuencia</w:t>
      </w:r>
      <w:r>
        <w:rPr>
          <w:color w:val="000000"/>
        </w:rPr>
        <w:t>s</w:t>
      </w:r>
      <w:r w:rsidRPr="005723F0">
        <w:rPr>
          <w:color w:val="000000"/>
        </w:rPr>
        <w:t xml:space="preserve"> se haya instalado en la posición orbital notificada y se haya mantenido en ella durante un periodo continuo de noventa días. La administración notificante informará de esta circunstancia a la Oficina en el plazo de treinta días a partir del final del periodo de noventa días</w:t>
      </w:r>
      <w:r w:rsidRPr="001C7BF2">
        <w:t>.</w:t>
      </w:r>
      <w:r w:rsidRPr="001C7BF2">
        <w:rPr>
          <w:sz w:val="16"/>
        </w:rPr>
        <w:t>     </w:t>
      </w:r>
      <w:r w:rsidRPr="003A650D">
        <w:rPr>
          <w:sz w:val="16"/>
        </w:rPr>
        <w:t>(</w:t>
      </w:r>
      <w:r>
        <w:rPr>
          <w:sz w:val="16"/>
          <w:szCs w:val="16"/>
        </w:rPr>
        <w:t>CMR</w:t>
      </w:r>
      <w:r w:rsidRPr="003A650D">
        <w:rPr>
          <w:sz w:val="16"/>
          <w:szCs w:val="16"/>
        </w:rPr>
        <w:noBreakHyphen/>
        <w:t>15)</w:t>
      </w:r>
    </w:p>
    <w:p w:rsidR="00C65C13" w:rsidRDefault="00E86C33" w:rsidP="00C075D4">
      <w:pPr>
        <w:pStyle w:val="Reasons"/>
        <w:spacing w:line="480" w:lineRule="auto"/>
        <w:rPr>
          <w:lang w:val="en-US"/>
        </w:rPr>
      </w:pPr>
      <w:r w:rsidRPr="00C075D4">
        <w:rPr>
          <w:b/>
        </w:rPr>
        <w:t>Motivos</w:t>
      </w:r>
      <w:r w:rsidRPr="001C7BF2">
        <w:rPr>
          <w:b/>
          <w:lang w:val="en-US"/>
        </w:rPr>
        <w:t>:</w:t>
      </w:r>
      <w:r w:rsidRPr="001C7BF2">
        <w:rPr>
          <w:lang w:val="en-US"/>
        </w:rPr>
        <w:tab/>
      </w:r>
      <w:r w:rsidR="00C075D4" w:rsidRPr="000E1C52">
        <w:t>Mejorar la reglamentación de satélites.</w:t>
      </w:r>
    </w:p>
    <w:p w:rsidR="001C7BF2" w:rsidRDefault="001C7BF2" w:rsidP="0032202E">
      <w:pPr>
        <w:pStyle w:val="Reasons"/>
      </w:pPr>
    </w:p>
    <w:p w:rsidR="001C7BF2" w:rsidRDefault="001C7BF2">
      <w:pPr>
        <w:jc w:val="center"/>
      </w:pPr>
      <w:r>
        <w:t>______________</w:t>
      </w:r>
    </w:p>
    <w:p w:rsidR="001C7BF2" w:rsidRPr="001C7BF2" w:rsidRDefault="001C7BF2">
      <w:pPr>
        <w:pStyle w:val="Reasons"/>
        <w:rPr>
          <w:lang w:val="en-US"/>
        </w:rPr>
      </w:pPr>
    </w:p>
    <w:sectPr w:rsidR="001C7BF2" w:rsidRPr="001C7BF2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C075D4" w:rsidRDefault="0077084A">
    <w:pPr>
      <w:ind w:right="360"/>
      <w:rPr>
        <w:rPrChange w:id="55" w:author="Mendoza Siles, Sidma Jeanneth" w:date="2015-10-02T11:36:00Z">
          <w:rPr>
            <w:lang w:val="en-US"/>
          </w:rPr>
        </w:rPrChange>
      </w:rPr>
    </w:pPr>
    <w:r>
      <w:fldChar w:fldCharType="begin"/>
    </w:r>
    <w:r w:rsidRPr="00C075D4">
      <w:rPr>
        <w:rPrChange w:id="56" w:author="Mendoza Siles, Sidma Jeanneth" w:date="2015-10-02T11:36:00Z">
          <w:rPr>
            <w:lang w:val="en-US"/>
          </w:rPr>
        </w:rPrChange>
      </w:rPr>
      <w:instrText xml:space="preserve"> FILENAME \p  \* MERGEFORMAT </w:instrText>
    </w:r>
    <w:r>
      <w:fldChar w:fldCharType="separate"/>
    </w:r>
    <w:ins w:id="57" w:author="Mendoza Siles, Sidma Jeanneth" w:date="2015-10-02T11:36:00Z">
      <w:r w:rsidR="00C075D4">
        <w:rPr>
          <w:noProof/>
        </w:rPr>
        <w:t>P:\ESP\ITU-R\CONF-R\CMR15\000\028ADD21ADD06S.docx</w:t>
      </w:r>
    </w:ins>
    <w:del w:id="58" w:author="Mendoza Siles, Sidma Jeanneth" w:date="2015-10-02T11:36:00Z">
      <w:r w:rsidR="0090121B" w:rsidRPr="00C075D4" w:rsidDel="00C075D4">
        <w:rPr>
          <w:noProof/>
          <w:rPrChange w:id="59" w:author="Mendoza Siles, Sidma Jeanneth" w:date="2015-10-02T11:36:00Z">
            <w:rPr>
              <w:noProof/>
              <w:lang w:val="en-US"/>
            </w:rPr>
          </w:rPrChange>
        </w:rPr>
        <w:delText>Document2</w:delText>
      </w:r>
    </w:del>
    <w:r>
      <w:fldChar w:fldCharType="end"/>
    </w:r>
    <w:r w:rsidRPr="00C075D4">
      <w:rPr>
        <w:rPrChange w:id="60" w:author="Mendoza Siles, Sidma Jeanneth" w:date="2015-10-02T11:36:00Z">
          <w:rPr>
            <w:lang w:val="en-US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B7D71">
      <w:rPr>
        <w:noProof/>
      </w:rPr>
      <w:t>02.10.15</w:t>
    </w:r>
    <w:r>
      <w:fldChar w:fldCharType="end"/>
    </w:r>
    <w:r w:rsidRPr="00C075D4">
      <w:rPr>
        <w:rPrChange w:id="61" w:author="Mendoza Siles, Sidma Jeanneth" w:date="2015-10-02T11:36:00Z">
          <w:rPr>
            <w:lang w:val="en-US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62" w:author="Mendoza Siles, Sidma Jeanneth" w:date="2015-10-02T11:36:00Z">
      <w:r w:rsidR="00C075D4">
        <w:rPr>
          <w:noProof/>
        </w:rPr>
        <w:t>02.10.15</w:t>
      </w:r>
    </w:ins>
    <w:del w:id="63" w:author="Mendoza Siles, Sidma Jeanneth" w:date="2015-10-02T11:36:00Z">
      <w:r w:rsidR="00C075D4" w:rsidDel="00C075D4">
        <w:rPr>
          <w:noProof/>
        </w:rPr>
        <w:delText>19.02.03</w:delText>
      </w:r>
    </w:del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52" w:rsidRDefault="000E1C52" w:rsidP="000E1C52">
    <w:pPr>
      <w:pStyle w:val="Footer"/>
    </w:pPr>
    <w:fldSimple w:instr=" FILENAME \p  \* MERGEFORMAT ">
      <w:r w:rsidR="00C075D4">
        <w:t>P:\ESP\ITU-R\CONF-R\CMR15\000\028ADD21ADD06S.docx</w:t>
      </w:r>
    </w:fldSimple>
    <w:r>
      <w:t xml:space="preserve"> (387034)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0B7D71">
      <w:t>02.10.15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ins w:id="64" w:author="Mendoza Siles, Sidma Jeanneth" w:date="2015-10-02T11:36:00Z">
      <w:r w:rsidR="00C075D4">
        <w:t>02.10.15</w:t>
      </w:r>
    </w:ins>
    <w:del w:id="65" w:author="Mendoza Siles, Sidma Jeanneth" w:date="2015-10-02T11:36:00Z">
      <w:r w:rsidR="00C075D4" w:rsidDel="00C075D4">
        <w:delText>19.02.03</w:delText>
      </w:r>
    </w:del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52" w:rsidRDefault="000B7D71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C075D4">
      <w:t>P:\ESP\ITU-R\CONF-R\CMR15\000\028ADD21ADD06S.docx</w:t>
    </w:r>
    <w:r>
      <w:fldChar w:fldCharType="end"/>
    </w:r>
    <w:r w:rsidR="000E1C52">
      <w:t xml:space="preserve"> (387034)</w:t>
    </w:r>
    <w:r w:rsidR="000E1C52">
      <w:tab/>
    </w:r>
    <w:r w:rsidR="000E1C52">
      <w:fldChar w:fldCharType="begin"/>
    </w:r>
    <w:r w:rsidR="000E1C52">
      <w:instrText xml:space="preserve"> SAVEDATE \@ DD.MM.YY </w:instrText>
    </w:r>
    <w:r w:rsidR="000E1C52">
      <w:fldChar w:fldCharType="separate"/>
    </w:r>
    <w:r>
      <w:t>02.10.15</w:t>
    </w:r>
    <w:r w:rsidR="000E1C52">
      <w:fldChar w:fldCharType="end"/>
    </w:r>
    <w:r w:rsidR="000E1C52">
      <w:tab/>
    </w:r>
    <w:r w:rsidR="000E1C52">
      <w:fldChar w:fldCharType="begin"/>
    </w:r>
    <w:r w:rsidR="000E1C52">
      <w:instrText xml:space="preserve"> PRINTDATE \@ DD.MM.YY </w:instrText>
    </w:r>
    <w:r w:rsidR="000E1C52">
      <w:fldChar w:fldCharType="separate"/>
    </w:r>
    <w:ins w:id="66" w:author="Mendoza Siles, Sidma Jeanneth" w:date="2015-10-02T11:36:00Z">
      <w:r w:rsidR="00C075D4">
        <w:t>02.10.15</w:t>
      </w:r>
    </w:ins>
    <w:del w:id="67" w:author="Mendoza Siles, Sidma Jeanneth" w:date="2015-10-02T11:36:00Z">
      <w:r w:rsidR="00C075D4" w:rsidDel="00C075D4">
        <w:delText>19.02.03</w:delText>
      </w:r>
    </w:del>
    <w:r w:rsidR="000E1C5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7D71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28(Add.21)(Add.6)-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Mendoza Siles, Sidma Jeanneth">
    <w15:presenceInfo w15:providerId="AD" w15:userId="S-1-5-21-8740799-900759487-1415713722-22006"/>
  </w15:person>
  <w15:person w15:author="Pons Calatayud, Jose Tomas">
    <w15:presenceInfo w15:providerId="AD" w15:userId="S-1-5-21-8740799-900759487-1415713722-6474"/>
  </w15:person>
  <w15:person w15:author="Christe-Baldan, Susana">
    <w15:presenceInfo w15:providerId="AD" w15:userId="S-1-5-21-8740799-900759487-1415713722-6122"/>
  </w15:person>
  <w15:person w15:author="Gimenez, Christine">
    <w15:presenceInfo w15:providerId="AD" w15:userId="S-1-5-21-8740799-900759487-1415713722-2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B7D71"/>
    <w:rsid w:val="000C3D5D"/>
    <w:rsid w:val="000E1C52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0E08"/>
    <w:rsid w:val="001C41FA"/>
    <w:rsid w:val="001C7BF2"/>
    <w:rsid w:val="001E2B52"/>
    <w:rsid w:val="001E3F27"/>
    <w:rsid w:val="001E4EE0"/>
    <w:rsid w:val="00236D2A"/>
    <w:rsid w:val="00255F12"/>
    <w:rsid w:val="00262C09"/>
    <w:rsid w:val="002948AE"/>
    <w:rsid w:val="002A791F"/>
    <w:rsid w:val="002C1B26"/>
    <w:rsid w:val="002C5CD4"/>
    <w:rsid w:val="002C5D6C"/>
    <w:rsid w:val="002E701F"/>
    <w:rsid w:val="003248A9"/>
    <w:rsid w:val="00324FFA"/>
    <w:rsid w:val="0032680B"/>
    <w:rsid w:val="00363A65"/>
    <w:rsid w:val="003B1E8C"/>
    <w:rsid w:val="003C11ED"/>
    <w:rsid w:val="003C2508"/>
    <w:rsid w:val="003D0AA3"/>
    <w:rsid w:val="00415610"/>
    <w:rsid w:val="004207AF"/>
    <w:rsid w:val="00440B3A"/>
    <w:rsid w:val="0045384C"/>
    <w:rsid w:val="00454553"/>
    <w:rsid w:val="004B124A"/>
    <w:rsid w:val="004C18BB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70AA5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86847"/>
    <w:rsid w:val="0088763D"/>
    <w:rsid w:val="008E5AF2"/>
    <w:rsid w:val="0090121B"/>
    <w:rsid w:val="009144C9"/>
    <w:rsid w:val="0094091F"/>
    <w:rsid w:val="00973754"/>
    <w:rsid w:val="009A0D6F"/>
    <w:rsid w:val="009C0BED"/>
    <w:rsid w:val="009E11EC"/>
    <w:rsid w:val="00A118DB"/>
    <w:rsid w:val="00A4450C"/>
    <w:rsid w:val="00A864E2"/>
    <w:rsid w:val="00AA5E6C"/>
    <w:rsid w:val="00AE5677"/>
    <w:rsid w:val="00AE658F"/>
    <w:rsid w:val="00AF2F78"/>
    <w:rsid w:val="00B239FA"/>
    <w:rsid w:val="00B52D55"/>
    <w:rsid w:val="00B53568"/>
    <w:rsid w:val="00B8288C"/>
    <w:rsid w:val="00BE2E80"/>
    <w:rsid w:val="00BE5EDD"/>
    <w:rsid w:val="00BE6A1F"/>
    <w:rsid w:val="00C002CE"/>
    <w:rsid w:val="00C075D4"/>
    <w:rsid w:val="00C126C4"/>
    <w:rsid w:val="00C42E8A"/>
    <w:rsid w:val="00C63EB5"/>
    <w:rsid w:val="00C65C13"/>
    <w:rsid w:val="00CA004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E86C33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79EA9137-7AEE-4707-B04D-5A2660A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  <w:style w:type="character" w:customStyle="1" w:styleId="NoteChar">
    <w:name w:val="Note Char"/>
    <w:basedOn w:val="DefaultParagraphFont"/>
    <w:link w:val="Note"/>
    <w:rsid w:val="004C143A"/>
    <w:rPr>
      <w:rFonts w:ascii="Times New Roman" w:hAnsi="Times New Roman"/>
      <w:lang w:val="es-ES_tradnl" w:eastAsia="en-US"/>
    </w:rPr>
  </w:style>
  <w:style w:type="character" w:customStyle="1" w:styleId="FootnoteTextChar">
    <w:name w:val="Footnote Text Char"/>
    <w:basedOn w:val="DefaultParagraphFont"/>
    <w:link w:val="FootnoteText"/>
    <w:rsid w:val="001C7BF2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R15-WRC15-C-0028!A21-A6!MSW-S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2012-86DA-48BF-815E-AC0FE04D2EE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32a1a8c5-2265-4ebc-b7a0-2071e2c5c9bb"/>
    <ds:schemaRef ds:uri="http://schemas.microsoft.com/office/infopath/2007/PartnerControl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02CD8C-24CB-45A1-8B1E-0EBFB74C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823</Words>
  <Characters>4764</Characters>
  <Application>Microsoft Office Word</Application>
  <DocSecurity>0</DocSecurity>
  <Lines>125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R15-WRC15-C-0028!A21-A6!MSW-S</vt:lpstr>
    </vt:vector>
  </TitlesOfParts>
  <Manager>Secretaría General - Pool</Manager>
  <Company>Unión Internacional de Telecomunicaciones (UIT)</Company>
  <LinksUpToDate>false</LinksUpToDate>
  <CharactersWithSpaces>5529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R15-WRC15-C-0028!A21-A6!MSW-S</dc:title>
  <dc:subject>Conferencia Mundial de Radiocomunicaciones - 2015</dc:subject>
  <dc:creator>Documents Proposals Manager (DPM)</dc:creator>
  <cp:keywords>DPM_v5.2015.9.16_prod</cp:keywords>
  <dc:description/>
  <cp:lastModifiedBy>Mendoza Siles, Sidma Jeanneth</cp:lastModifiedBy>
  <cp:revision>5</cp:revision>
  <cp:lastPrinted>2015-10-02T09:36:00Z</cp:lastPrinted>
  <dcterms:created xsi:type="dcterms:W3CDTF">2015-10-02T09:24:00Z</dcterms:created>
  <dcterms:modified xsi:type="dcterms:W3CDTF">2015-10-02T09:50:00Z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