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 xml:space="preserve">World </w:t>
            </w:r>
            <w:proofErr w:type="spellStart"/>
            <w:r w:rsidRPr="00F7284A">
              <w:rPr>
                <w:rFonts w:ascii="Verdana" w:hAnsi="Verdana" w:cs="Times"/>
                <w:b/>
                <w:position w:val="6"/>
                <w:sz w:val="22"/>
                <w:szCs w:val="22"/>
                <w:lang w:val="en-US"/>
              </w:rPr>
              <w:t>Radiocommunication</w:t>
            </w:r>
            <w:proofErr w:type="spellEnd"/>
            <w:r w:rsidRPr="00F7284A">
              <w:rPr>
                <w:rFonts w:ascii="Verdana" w:hAnsi="Verdana" w:cs="Times"/>
                <w:b/>
                <w:position w:val="6"/>
                <w:sz w:val="22"/>
                <w:szCs w:val="22"/>
                <w:lang w:val="en-US"/>
              </w:rPr>
              <w:t xml:space="preserve">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 to</w:t>
            </w:r>
            <w:r>
              <w:rPr>
                <w:rFonts w:ascii="Verdana" w:eastAsia="SimSun" w:hAnsi="Verdana" w:cs="Traditional Arabic"/>
                <w:b/>
                <w:sz w:val="20"/>
              </w:rPr>
              <w:br/>
              <w:t>Document 28(Add.21)</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September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African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 xml:space="preserve">Agenda </w:t>
            </w:r>
            <w:proofErr w:type="spellStart"/>
            <w:r>
              <w:t>item</w:t>
            </w:r>
            <w:proofErr w:type="spellEnd"/>
            <w:r>
              <w:t xml:space="preserve"> 7(A)</w:t>
            </w:r>
          </w:p>
        </w:tc>
      </w:tr>
    </w:tbl>
    <w:bookmarkEnd w:id="6"/>
    <w:bookmarkEnd w:id="7"/>
    <w:p w:rsidR="00B02325" w:rsidRPr="000002F2" w:rsidRDefault="007006FA" w:rsidP="00EB1935">
      <w:pPr>
        <w:pStyle w:val="Normalaftertitle"/>
      </w:pPr>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B02325" w:rsidRPr="000002F2" w:rsidRDefault="007006FA" w:rsidP="007E053A">
      <w:r>
        <w:t>7(A)</w:t>
      </w:r>
      <w:r>
        <w:tab/>
        <w:t xml:space="preserve">Issue A – Informing the Bureau of a suspension </w:t>
      </w:r>
      <w:r w:rsidRPr="009350A1">
        <w:t xml:space="preserve">under RR No. </w:t>
      </w:r>
      <w:r w:rsidRPr="00371E1F">
        <w:rPr>
          <w:b/>
          <w:bCs/>
        </w:rPr>
        <w:t>11.49</w:t>
      </w:r>
      <w:r>
        <w:t xml:space="preserve"> </w:t>
      </w:r>
      <w:r w:rsidRPr="009350A1">
        <w:rPr>
          <w:bCs/>
        </w:rPr>
        <w:t xml:space="preserve">beyond </w:t>
      </w:r>
      <w:r>
        <w:rPr>
          <w:bCs/>
        </w:rPr>
        <w:t>six</w:t>
      </w:r>
      <w:r w:rsidRPr="009350A1">
        <w:rPr>
          <w:bCs/>
        </w:rPr>
        <w:t xml:space="preserve"> months</w:t>
      </w:r>
    </w:p>
    <w:p w:rsidR="00241FA2" w:rsidRPr="003A1DC7" w:rsidRDefault="00241FA2" w:rsidP="00EB1935"/>
    <w:p w:rsidR="00187BD9" w:rsidRPr="003A1DC7" w:rsidRDefault="00187BD9" w:rsidP="00187BD9">
      <w:pPr>
        <w:tabs>
          <w:tab w:val="clear" w:pos="1134"/>
          <w:tab w:val="clear" w:pos="1871"/>
          <w:tab w:val="clear" w:pos="2268"/>
        </w:tabs>
        <w:overflowPunct/>
        <w:autoSpaceDE/>
        <w:autoSpaceDN/>
        <w:adjustRightInd/>
        <w:spacing w:before="0"/>
        <w:textAlignment w:val="auto"/>
      </w:pPr>
      <w:r w:rsidRPr="003A1DC7">
        <w:br w:type="page"/>
      </w:r>
    </w:p>
    <w:p w:rsidR="009B463A" w:rsidRPr="00667882" w:rsidRDefault="007006FA" w:rsidP="00FB3369">
      <w:pPr>
        <w:pStyle w:val="ArtNo"/>
      </w:pPr>
      <w:bookmarkStart w:id="8" w:name="_Toc327956595"/>
      <w:r w:rsidRPr="00FB3369">
        <w:lastRenderedPageBreak/>
        <w:t>ARTICLE</w:t>
      </w:r>
      <w:r w:rsidRPr="00D41CE2">
        <w:t xml:space="preserve"> </w:t>
      </w:r>
      <w:r w:rsidRPr="00667882">
        <w:rPr>
          <w:rStyle w:val="href"/>
          <w:noProof/>
          <w:lang w:val="en-CA"/>
        </w:rPr>
        <w:t>11</w:t>
      </w:r>
      <w:bookmarkEnd w:id="8"/>
    </w:p>
    <w:p w:rsidR="009B463A" w:rsidRPr="00D41CE2" w:rsidRDefault="007006FA" w:rsidP="009B463A">
      <w:pPr>
        <w:pStyle w:val="Arttitle"/>
        <w:rPr>
          <w:sz w:val="16"/>
          <w:szCs w:val="16"/>
        </w:rPr>
      </w:pPr>
      <w:bookmarkStart w:id="9" w:name="_Toc327956596"/>
      <w:r w:rsidRPr="00D41CE2">
        <w:t xml:space="preserve">Notification and recording of frequency </w:t>
      </w:r>
      <w:r w:rsidRPr="00D41CE2">
        <w:br/>
        <w:t>assignments</w:t>
      </w:r>
      <w:r>
        <w:rPr>
          <w:rStyle w:val="FootnoteReference"/>
        </w:rPr>
        <w:t>1</w:t>
      </w:r>
      <w:r w:rsidRPr="00835A36">
        <w:rPr>
          <w:rStyle w:val="FootnoteReference"/>
        </w:rPr>
        <w:t xml:space="preserve">, </w:t>
      </w:r>
      <w:r>
        <w:rPr>
          <w:rStyle w:val="FootnoteReference"/>
        </w:rPr>
        <w:t>2</w:t>
      </w:r>
      <w:r w:rsidRPr="00835A36">
        <w:rPr>
          <w:rStyle w:val="FootnoteReference"/>
        </w:rPr>
        <w:t xml:space="preserve">, </w:t>
      </w:r>
      <w:r>
        <w:rPr>
          <w:rStyle w:val="FootnoteReference"/>
        </w:rPr>
        <w:t>3</w:t>
      </w:r>
      <w:r w:rsidRPr="00835A36">
        <w:rPr>
          <w:rStyle w:val="FootnoteReference"/>
        </w:rPr>
        <w:t xml:space="preserve">, </w:t>
      </w:r>
      <w:r>
        <w:rPr>
          <w:rStyle w:val="FootnoteReference"/>
        </w:rPr>
        <w:t>4</w:t>
      </w:r>
      <w:r w:rsidRPr="00835A36">
        <w:rPr>
          <w:rStyle w:val="FootnoteReference"/>
        </w:rPr>
        <w:t xml:space="preserve">, </w:t>
      </w:r>
      <w:r>
        <w:rPr>
          <w:rStyle w:val="FootnoteReference"/>
        </w:rPr>
        <w:t>5</w:t>
      </w:r>
      <w:r w:rsidRPr="00835A36">
        <w:rPr>
          <w:rStyle w:val="FootnoteReference"/>
        </w:rPr>
        <w:t xml:space="preserve">, </w:t>
      </w:r>
      <w:r>
        <w:rPr>
          <w:rStyle w:val="FootnoteReference"/>
        </w:rPr>
        <w:t>6</w:t>
      </w:r>
      <w:r w:rsidRPr="00835A36">
        <w:rPr>
          <w:rStyle w:val="FootnoteReference"/>
        </w:rPr>
        <w:t xml:space="preserve">, </w:t>
      </w:r>
      <w:r>
        <w:rPr>
          <w:rStyle w:val="FootnoteReference"/>
        </w:rPr>
        <w:t>7</w:t>
      </w:r>
      <w:r w:rsidRPr="00835A36">
        <w:rPr>
          <w:rStyle w:val="FootnoteReference"/>
        </w:rPr>
        <w:t xml:space="preserve">, </w:t>
      </w:r>
      <w:r w:rsidRPr="004C21D9">
        <w:rPr>
          <w:rStyle w:val="FootnoteReference"/>
        </w:rPr>
        <w:t>7</w:t>
      </w:r>
      <w:r w:rsidRPr="004C21D9">
        <w:rPr>
          <w:rStyle w:val="FootnoteReference"/>
          <w:i/>
          <w:iCs/>
        </w:rPr>
        <w:t>bis</w:t>
      </w:r>
      <w:r w:rsidRPr="00577A24">
        <w:rPr>
          <w:b w:val="0"/>
          <w:bCs/>
          <w:sz w:val="16"/>
          <w:szCs w:val="16"/>
        </w:rPr>
        <w:t>   </w:t>
      </w:r>
      <w:r w:rsidRPr="003D1979">
        <w:rPr>
          <w:b w:val="0"/>
          <w:bCs/>
          <w:sz w:val="16"/>
          <w:szCs w:val="16"/>
        </w:rPr>
        <w:t> (WRC</w:t>
      </w:r>
      <w:r w:rsidRPr="003D1979">
        <w:rPr>
          <w:b w:val="0"/>
          <w:bCs/>
          <w:sz w:val="16"/>
          <w:szCs w:val="16"/>
        </w:rPr>
        <w:noBreakHyphen/>
        <w:t>12)</w:t>
      </w:r>
      <w:bookmarkEnd w:id="9"/>
    </w:p>
    <w:p w:rsidR="009B463A" w:rsidRDefault="007006FA" w:rsidP="009B463A">
      <w:pPr>
        <w:pStyle w:val="Section1"/>
        <w:keepNext/>
        <w:rPr>
          <w:lang w:val="en-US"/>
        </w:rPr>
      </w:pPr>
      <w:r>
        <w:rPr>
          <w:lang w:val="en-US"/>
        </w:rPr>
        <w:t xml:space="preserve">Section II − Examination of notices and recording of frequency assignments </w:t>
      </w:r>
      <w:r>
        <w:rPr>
          <w:lang w:val="en-US"/>
        </w:rPr>
        <w:br/>
        <w:t xml:space="preserve">in the </w:t>
      </w:r>
      <w:r w:rsidRPr="00200E6D">
        <w:t>Master</w:t>
      </w:r>
      <w:r>
        <w:rPr>
          <w:lang w:val="en-US"/>
        </w:rPr>
        <w:t xml:space="preserve"> Register</w:t>
      </w:r>
    </w:p>
    <w:p w:rsidR="00683715" w:rsidRDefault="007006FA">
      <w:pPr>
        <w:pStyle w:val="Proposal"/>
      </w:pPr>
      <w:r>
        <w:t>MOD</w:t>
      </w:r>
      <w:r>
        <w:tab/>
        <w:t>AFCP/28A21A1/1</w:t>
      </w:r>
    </w:p>
    <w:p w:rsidR="009B463A" w:rsidRPr="00D41CE2" w:rsidRDefault="007006FA" w:rsidP="003A1DC7">
      <w:r w:rsidRPr="00D41CE2">
        <w:rPr>
          <w:rStyle w:val="Artdef"/>
        </w:rPr>
        <w:t>11.49</w:t>
      </w:r>
      <w:r w:rsidRPr="00D41CE2">
        <w:rPr>
          <w:rStyle w:val="Artdef"/>
        </w:rPr>
        <w:tab/>
      </w:r>
      <w:r w:rsidRPr="00D41CE2">
        <w:rPr>
          <w:rStyle w:val="Artdef"/>
        </w:rPr>
        <w:tab/>
      </w:r>
      <w:r w:rsidR="003A1DC7" w:rsidRPr="0076622C">
        <w:t>Wherever the use of a recorded frequency assignment to a space station is suspended for a period exceeding six months, the notifying administration shall</w:t>
      </w:r>
      <w:del w:id="10" w:author="Author">
        <w:r w:rsidR="003A1DC7" w:rsidRPr="0076622C">
          <w:delText>, as soon as possible, but no later than six months from the date on which the use was suspended,</w:delText>
        </w:r>
      </w:del>
      <w:r w:rsidR="003A1DC7" w:rsidRPr="0076622C">
        <w:t xml:space="preserve"> inform the Bureau of the date on which such use was suspended. When the recorded assignment is brought back into use, the notifying administration shall, subject to the provisions of No. </w:t>
      </w:r>
      <w:r w:rsidR="003A1DC7" w:rsidRPr="0076622C">
        <w:rPr>
          <w:b/>
          <w:bCs/>
        </w:rPr>
        <w:t>11.49.1</w:t>
      </w:r>
      <w:r w:rsidR="003A1DC7" w:rsidRPr="0076622C">
        <w:t xml:space="preserve"> when applicable, so inform the Bureau, as soon as possible. The date on which the recorded assignment is brought back into use</w:t>
      </w:r>
      <w:r w:rsidR="003A1DC7" w:rsidRPr="0076622C">
        <w:rPr>
          <w:rStyle w:val="FootnoteReference"/>
        </w:rPr>
        <w:t>22</w:t>
      </w:r>
      <w:r w:rsidR="003A1DC7" w:rsidRPr="0076622C">
        <w:t xml:space="preserve"> shall be not later than three years from the date </w:t>
      </w:r>
      <w:ins w:id="11" w:author="Author">
        <w:r w:rsidR="003A1DC7" w:rsidRPr="0076622C">
          <w:t xml:space="preserve">on which the use of the </w:t>
        </w:r>
      </w:ins>
      <w:ins w:id="12" w:author="박종민" w:date="2015-03-03T21:55:00Z">
        <w:r w:rsidR="003A1DC7" w:rsidRPr="0076622C">
          <w:t xml:space="preserve">frequency </w:t>
        </w:r>
      </w:ins>
      <w:ins w:id="13" w:author="Author">
        <w:r w:rsidR="003A1DC7" w:rsidRPr="0076622C">
          <w:t>assignment was suspended, provided that the notifying administration informs the Bureau of the suspension within six months from the date on which the use was suspended. If the notifying administration informs the Bureau of the suspension more than six months after the date on which the use of the</w:t>
        </w:r>
      </w:ins>
      <w:ins w:id="14" w:author="박종민" w:date="2015-03-03T21:56:00Z">
        <w:r w:rsidR="003A1DC7" w:rsidRPr="0076622C">
          <w:t xml:space="preserve"> frequency</w:t>
        </w:r>
      </w:ins>
      <w:ins w:id="15" w:author="Author">
        <w:r w:rsidR="003A1DC7" w:rsidRPr="0076622C">
          <w:t xml:space="preserve"> assignment was suspended, this three-year time period shall be reduced. In this case, the amount by which the three-year period shall be reduced shall be equal to the amount of time that has elapsed between the end of the six-month period and the date that the Bureau is informed </w:t>
        </w:r>
      </w:ins>
      <w:r w:rsidR="003A1DC7" w:rsidRPr="0076622C">
        <w:t xml:space="preserve">of </w:t>
      </w:r>
      <w:ins w:id="16" w:author="Author">
        <w:r w:rsidR="003A1DC7" w:rsidRPr="0076622C">
          <w:t xml:space="preserve">the </w:t>
        </w:r>
      </w:ins>
      <w:r w:rsidR="003A1DC7" w:rsidRPr="0076622C">
        <w:t>suspension.</w:t>
      </w:r>
      <w:ins w:id="17" w:author="박종민" w:date="2015-03-03T21:58:00Z">
        <w:r w:rsidR="003A1DC7" w:rsidRPr="0076622C">
          <w:t xml:space="preserve"> If the notifying administration informs the Bureau of the suspension more than 21</w:t>
        </w:r>
      </w:ins>
      <w:ins w:id="18" w:author="Turnbull, Karen" w:date="2015-09-21T11:03:00Z">
        <w:r w:rsidR="00441871">
          <w:t> </w:t>
        </w:r>
      </w:ins>
      <w:ins w:id="19" w:author="박종민" w:date="2015-03-03T21:58:00Z">
        <w:r w:rsidR="003A1DC7" w:rsidRPr="0076622C">
          <w:t>months after the date on which the use of the frequency assignment was suspended, the frequency assignment shall be cancelled.</w:t>
        </w:r>
      </w:ins>
      <w:r w:rsidR="003A1DC7" w:rsidRPr="0076622C">
        <w:rPr>
          <w:sz w:val="16"/>
          <w:szCs w:val="16"/>
        </w:rPr>
        <w:t>     (WRC</w:t>
      </w:r>
      <w:r w:rsidR="003A1DC7" w:rsidRPr="0076622C">
        <w:rPr>
          <w:sz w:val="16"/>
          <w:szCs w:val="16"/>
        </w:rPr>
        <w:noBreakHyphen/>
      </w:r>
      <w:del w:id="20" w:author="Author">
        <w:r w:rsidR="003A1DC7" w:rsidRPr="0076622C" w:rsidDel="00B16971">
          <w:rPr>
            <w:sz w:val="16"/>
            <w:szCs w:val="16"/>
          </w:rPr>
          <w:delText>12</w:delText>
        </w:r>
      </w:del>
      <w:ins w:id="21" w:author="Author">
        <w:r w:rsidR="003A1DC7" w:rsidRPr="0076622C">
          <w:rPr>
            <w:sz w:val="16"/>
            <w:szCs w:val="16"/>
          </w:rPr>
          <w:t>15</w:t>
        </w:r>
      </w:ins>
      <w:r w:rsidR="003A1DC7" w:rsidRPr="0076622C">
        <w:rPr>
          <w:sz w:val="16"/>
          <w:szCs w:val="16"/>
        </w:rPr>
        <w:t>)</w:t>
      </w:r>
    </w:p>
    <w:p w:rsidR="00683715" w:rsidRDefault="007006FA">
      <w:pPr>
        <w:pStyle w:val="Reasons"/>
      </w:pPr>
      <w:r>
        <w:rPr>
          <w:b/>
        </w:rPr>
        <w:t>Reasons:</w:t>
      </w:r>
      <w:r>
        <w:tab/>
      </w:r>
      <w:r w:rsidR="003A1DC7">
        <w:t>T</w:t>
      </w:r>
      <w:r w:rsidR="003A1DC7" w:rsidRPr="0076622C">
        <w:t>o improve the satellite regulations</w:t>
      </w:r>
      <w:r w:rsidR="003A1DC7">
        <w:t>.</w:t>
      </w:r>
    </w:p>
    <w:p w:rsidR="00683715" w:rsidRDefault="007006FA">
      <w:pPr>
        <w:pStyle w:val="Proposal"/>
      </w:pPr>
      <w:r>
        <w:rPr>
          <w:u w:val="single"/>
        </w:rPr>
        <w:t>NOC</w:t>
      </w:r>
      <w:r>
        <w:tab/>
        <w:t>AFCP/28A21A1/2</w:t>
      </w:r>
    </w:p>
    <w:p w:rsidR="00441871" w:rsidRDefault="00441871" w:rsidP="00441871">
      <w:pPr>
        <w:keepNext/>
      </w:pPr>
      <w:r>
        <w:t>_______________</w:t>
      </w:r>
    </w:p>
    <w:p w:rsidR="00441871" w:rsidRPr="000E57EA" w:rsidRDefault="00441871" w:rsidP="00441871">
      <w:pPr>
        <w:pStyle w:val="FootnoteText"/>
      </w:pPr>
      <w:r>
        <w:rPr>
          <w:rStyle w:val="FootnoteReference"/>
        </w:rPr>
        <w:t>22</w:t>
      </w:r>
      <w:r>
        <w:t xml:space="preserve"> </w:t>
      </w:r>
      <w:r w:rsidRPr="000E57EA">
        <w:rPr>
          <w:lang w:val="en-US"/>
        </w:rPr>
        <w:tab/>
      </w:r>
      <w:r w:rsidRPr="00D41CE2">
        <w:rPr>
          <w:rStyle w:val="Artdef"/>
        </w:rPr>
        <w:t>11.49.1</w:t>
      </w:r>
      <w:r w:rsidRPr="00D41CE2">
        <w:rPr>
          <w:rStyle w:val="Artdef"/>
        </w:rPr>
        <w:tab/>
      </w:r>
      <w:r w:rsidRPr="00D41CE2">
        <w:t>The date of bringing back into use of a frequency assignment to a space station in the geostationary-satellite orbit shall be the date of the commencement of the ninety-day period defined below. A frequency assignment to a space station in the geostationary-satellite orbit shall be considered as having been brought back into use when a space station in the geostationary-satellite orbit with the capability of transmitting or receiving that frequency assignment has been deployed and maintained at the notified orbital position for a continuous period of ninety days. The notifying administration shall so inform the Bureau within thirty days from the end of the ninety-day period.</w:t>
      </w:r>
      <w:r>
        <w:rPr>
          <w:sz w:val="16"/>
        </w:rPr>
        <w:t>  </w:t>
      </w:r>
      <w:r w:rsidRPr="00D41CE2">
        <w:rPr>
          <w:sz w:val="16"/>
        </w:rPr>
        <w:t>  (</w:t>
      </w:r>
      <w:r>
        <w:rPr>
          <w:sz w:val="16"/>
        </w:rPr>
        <w:t>WRC</w:t>
      </w:r>
      <w:r>
        <w:rPr>
          <w:sz w:val="16"/>
        </w:rPr>
        <w:noBreakHyphen/>
      </w:r>
      <w:r w:rsidRPr="00D41CE2">
        <w:rPr>
          <w:sz w:val="16"/>
        </w:rPr>
        <w:t>12)</w:t>
      </w:r>
    </w:p>
    <w:p w:rsidR="00683715" w:rsidRDefault="007006FA">
      <w:pPr>
        <w:pStyle w:val="Reasons"/>
      </w:pPr>
      <w:r>
        <w:rPr>
          <w:b/>
        </w:rPr>
        <w:t>Reasons:</w:t>
      </w:r>
      <w:r>
        <w:tab/>
      </w:r>
      <w:r w:rsidR="003A1DC7">
        <w:t>T</w:t>
      </w:r>
      <w:r w:rsidR="003A1DC7" w:rsidRPr="0076622C">
        <w:t>o improve the satellite regulations</w:t>
      </w:r>
      <w:r w:rsidR="003A1DC7">
        <w:t>.</w:t>
      </w:r>
    </w:p>
    <w:p w:rsidR="003A1DC7" w:rsidRDefault="00441871" w:rsidP="00441871">
      <w:pPr>
        <w:pStyle w:val="Note"/>
      </w:pPr>
      <w:r w:rsidRPr="00441871">
        <w:rPr>
          <w:bCs/>
        </w:rPr>
        <w:t xml:space="preserve">NOTE – </w:t>
      </w:r>
      <w:r w:rsidR="003A1DC7">
        <w:t>Should be read together with t</w:t>
      </w:r>
      <w:r w:rsidR="006506FC">
        <w:t xml:space="preserve">he </w:t>
      </w:r>
      <w:bookmarkStart w:id="22" w:name="_GoBack"/>
      <w:bookmarkEnd w:id="22"/>
      <w:r w:rsidR="006506FC">
        <w:t>proposal above (i.e. AFCP/28</w:t>
      </w:r>
      <w:r w:rsidR="003A1DC7">
        <w:t>A21A1/1)</w:t>
      </w:r>
    </w:p>
    <w:p w:rsidR="00EB1935" w:rsidRDefault="00EB1935" w:rsidP="0032202E">
      <w:pPr>
        <w:pStyle w:val="Reasons"/>
      </w:pPr>
    </w:p>
    <w:p w:rsidR="00EB1935" w:rsidRDefault="00EB1935">
      <w:pPr>
        <w:jc w:val="center"/>
      </w:pPr>
      <w:r>
        <w:t>______________</w:t>
      </w:r>
    </w:p>
    <w:sectPr w:rsidR="00EB1935">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B1935">
      <w:rPr>
        <w:noProof/>
        <w:lang w:val="en-US"/>
      </w:rPr>
      <w:t>P:\ENG\ITU-R\CONF-R\CMR15\000\028ADD21ADD01E.docx</w:t>
    </w:r>
    <w:r>
      <w:fldChar w:fldCharType="end"/>
    </w:r>
    <w:r w:rsidRPr="0041348E">
      <w:rPr>
        <w:lang w:val="en-US"/>
      </w:rPr>
      <w:tab/>
    </w:r>
    <w:r>
      <w:fldChar w:fldCharType="begin"/>
    </w:r>
    <w:r>
      <w:instrText xml:space="preserve"> SAVEDATE \@ DD.MM.YY </w:instrText>
    </w:r>
    <w:r>
      <w:fldChar w:fldCharType="separate"/>
    </w:r>
    <w:r w:rsidR="00441871">
      <w:rPr>
        <w:noProof/>
      </w:rPr>
      <w:t>18.09.15</w:t>
    </w:r>
    <w:r>
      <w:fldChar w:fldCharType="end"/>
    </w:r>
    <w:r w:rsidRPr="0041348E">
      <w:rPr>
        <w:lang w:val="en-US"/>
      </w:rPr>
      <w:tab/>
    </w:r>
    <w:r>
      <w:fldChar w:fldCharType="begin"/>
    </w:r>
    <w:r>
      <w:instrText xml:space="preserve"> PRINTDATE \@ DD.MM.YY </w:instrText>
    </w:r>
    <w:r>
      <w:fldChar w:fldCharType="separate"/>
    </w:r>
    <w:r w:rsidR="00EB1935">
      <w:rPr>
        <w:noProof/>
      </w:rPr>
      <w:t>18.09.15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935" w:rsidRPr="0041348E" w:rsidRDefault="00EB1935" w:rsidP="00EB1935">
    <w:pPr>
      <w:pStyle w:val="Footer"/>
      <w:rPr>
        <w:lang w:val="en-US"/>
      </w:rPr>
    </w:pPr>
    <w:r>
      <w:fldChar w:fldCharType="begin"/>
    </w:r>
    <w:r w:rsidRPr="0041348E">
      <w:rPr>
        <w:lang w:val="en-US"/>
      </w:rPr>
      <w:instrText xml:space="preserve"> FILENAME \p  \* MERGEFORMAT </w:instrText>
    </w:r>
    <w:r>
      <w:fldChar w:fldCharType="separate"/>
    </w:r>
    <w:r w:rsidR="00441871">
      <w:rPr>
        <w:lang w:val="en-US"/>
      </w:rPr>
      <w:t>P:\ENG\ITU-R\CONF-R\CMR15\000\028ADD21ADD01E.docx</w:t>
    </w:r>
    <w:r>
      <w:fldChar w:fldCharType="end"/>
    </w:r>
    <w:r>
      <w:t xml:space="preserve"> (387029)</w:t>
    </w:r>
    <w:r w:rsidRPr="0041348E">
      <w:rPr>
        <w:lang w:val="en-US"/>
      </w:rPr>
      <w:tab/>
    </w:r>
    <w:r>
      <w:fldChar w:fldCharType="begin"/>
    </w:r>
    <w:r>
      <w:instrText xml:space="preserve"> SAVEDATE \@ DD.MM.YY </w:instrText>
    </w:r>
    <w:r>
      <w:fldChar w:fldCharType="separate"/>
    </w:r>
    <w:r w:rsidR="00441871">
      <w:t>18.09.15</w:t>
    </w:r>
    <w:r>
      <w:fldChar w:fldCharType="end"/>
    </w:r>
    <w:r w:rsidRPr="0041348E">
      <w:rPr>
        <w:lang w:val="en-US"/>
      </w:rPr>
      <w:tab/>
    </w:r>
    <w:r>
      <w:fldChar w:fldCharType="begin"/>
    </w:r>
    <w:r>
      <w:instrText xml:space="preserve"> PRINTDATE \@ DD.MM.YY </w:instrText>
    </w:r>
    <w:r>
      <w:fldChar w:fldCharType="separate"/>
    </w:r>
    <w:r w:rsidR="00441871">
      <w:t>18.09.15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441871">
      <w:rPr>
        <w:lang w:val="en-US"/>
      </w:rPr>
      <w:t>P:\ENG\ITU-R\CONF-R\CMR15\000\028ADD21ADD01E.docx</w:t>
    </w:r>
    <w:r>
      <w:fldChar w:fldCharType="end"/>
    </w:r>
    <w:r w:rsidR="00EB1935">
      <w:t xml:space="preserve"> (387029)</w:t>
    </w:r>
    <w:r w:rsidRPr="0041348E">
      <w:rPr>
        <w:lang w:val="en-US"/>
      </w:rPr>
      <w:tab/>
    </w:r>
    <w:r>
      <w:fldChar w:fldCharType="begin"/>
    </w:r>
    <w:r>
      <w:instrText xml:space="preserve"> SAVEDATE \@ DD.MM.YY </w:instrText>
    </w:r>
    <w:r>
      <w:fldChar w:fldCharType="separate"/>
    </w:r>
    <w:r w:rsidR="00441871">
      <w:t>18.09.15</w:t>
    </w:r>
    <w:r>
      <w:fldChar w:fldCharType="end"/>
    </w:r>
    <w:r w:rsidRPr="0041348E">
      <w:rPr>
        <w:lang w:val="en-US"/>
      </w:rPr>
      <w:tab/>
    </w:r>
    <w:r>
      <w:fldChar w:fldCharType="begin"/>
    </w:r>
    <w:r>
      <w:instrText xml:space="preserve"> PRINTDATE \@ DD.MM.YY </w:instrText>
    </w:r>
    <w:r>
      <w:fldChar w:fldCharType="separate"/>
    </w:r>
    <w:r w:rsidR="00441871">
      <w:t>18.09.15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441871">
      <w:rPr>
        <w:noProof/>
      </w:rPr>
      <w:t>2</w:t>
    </w:r>
    <w:r>
      <w:fldChar w:fldCharType="end"/>
    </w:r>
  </w:p>
  <w:p w:rsidR="00A066F1" w:rsidRPr="00A066F1" w:rsidRDefault="00187BD9" w:rsidP="00241FA2">
    <w:pPr>
      <w:pStyle w:val="Header"/>
    </w:pPr>
    <w:r>
      <w:t>CMR1</w:t>
    </w:r>
    <w:r w:rsidR="00241FA2">
      <w:t>5</w:t>
    </w:r>
    <w:r w:rsidR="00A066F1">
      <w:t>/</w:t>
    </w:r>
    <w:bookmarkStart w:id="23" w:name="OLE_LINK1"/>
    <w:bookmarkStart w:id="24" w:name="OLE_LINK2"/>
    <w:bookmarkStart w:id="25" w:name="OLE_LINK3"/>
    <w:r w:rsidR="00EB55C6">
      <w:t>28(Add.21)(Add.1)</w:t>
    </w:r>
    <w:bookmarkEnd w:id="23"/>
    <w:bookmarkEnd w:id="24"/>
    <w:bookmarkEnd w:id="25"/>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박종민">
    <w15:presenceInfo w15:providerId="None" w15:userId="박종민"/>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51A54"/>
    <w:rsid w:val="00361B37"/>
    <w:rsid w:val="00377BD3"/>
    <w:rsid w:val="00384088"/>
    <w:rsid w:val="003852CE"/>
    <w:rsid w:val="0039169B"/>
    <w:rsid w:val="003A1DC7"/>
    <w:rsid w:val="003A7F8C"/>
    <w:rsid w:val="003B2284"/>
    <w:rsid w:val="003B532E"/>
    <w:rsid w:val="003D0F8B"/>
    <w:rsid w:val="003E0DB6"/>
    <w:rsid w:val="0041348E"/>
    <w:rsid w:val="00420873"/>
    <w:rsid w:val="00441871"/>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02EA"/>
    <w:rsid w:val="006506FC"/>
    <w:rsid w:val="00657DE0"/>
    <w:rsid w:val="006746B2"/>
    <w:rsid w:val="00683715"/>
    <w:rsid w:val="00685313"/>
    <w:rsid w:val="00692833"/>
    <w:rsid w:val="006A6E9B"/>
    <w:rsid w:val="006B7C2A"/>
    <w:rsid w:val="006C23DA"/>
    <w:rsid w:val="006E3D45"/>
    <w:rsid w:val="007006FA"/>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155F1"/>
    <w:rsid w:val="00E205BC"/>
    <w:rsid w:val="00E26226"/>
    <w:rsid w:val="00E45D05"/>
    <w:rsid w:val="00E55816"/>
    <w:rsid w:val="00E55AEF"/>
    <w:rsid w:val="00E976C1"/>
    <w:rsid w:val="00EA12E5"/>
    <w:rsid w:val="00EB193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0430CFD-B8E3-457D-8D22-8367D11E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93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qForma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R15-WRC15-C-0028!A21-A1!MSW-E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E2D10-5705-4229-9883-63B34A2A9102}">
  <ds:schemaRefs>
    <ds:schemaRef ds:uri="http://schemas.microsoft.com/office/infopath/2007/PartnerControls"/>
    <ds:schemaRef ds:uri="996b2e75-67fd-4955-a3b0-5ab9934cb50b"/>
    <ds:schemaRef ds:uri="http://www.w3.org/XML/1998/namespace"/>
    <ds:schemaRef ds:uri="32a1a8c5-2265-4ebc-b7a0-2071e2c5c9bb"/>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4A278CB7-AFF0-4757-AB0C-256D1386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8</TotalTime>
  <Pages>2</Pages>
  <Words>513</Words>
  <Characters>2994</Characters>
  <Application>Microsoft Office Word</Application>
  <DocSecurity>0</DocSecurity>
  <Lines>76</Lines>
  <Paragraphs>38</Paragraphs>
  <ScaleCrop>false</ScaleCrop>
  <HeadingPairs>
    <vt:vector size="2" baseType="variant">
      <vt:variant>
        <vt:lpstr>Title</vt:lpstr>
      </vt:variant>
      <vt:variant>
        <vt:i4>1</vt:i4>
      </vt:variant>
    </vt:vector>
  </HeadingPairs>
  <TitlesOfParts>
    <vt:vector size="1" baseType="lpstr">
      <vt:lpstr>R15-WRC15-C-0028!A21-A1!MSW-E</vt:lpstr>
    </vt:vector>
  </TitlesOfParts>
  <Manager>General Secretariat - Pool</Manager>
  <Company>International Telecommunication Union (ITU)</Company>
  <LinksUpToDate>false</LinksUpToDate>
  <CharactersWithSpaces>3469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R15-WRC15-C-0028!A21-A1!MSW-E</dc:title>
  <dc:subject>World Radiocommunication Conference - 2015</dc:subject>
  <dc:creator>Documents Proposals Manager (DPM)</dc:creator>
  <cp:keywords>DPM_v5.2015.9.16_prod</cp:keywords>
  <dc:description>Uploaded on 2015.07.06</dc:description>
  <cp:lastModifiedBy>Turnbull, Karen</cp:lastModifiedBy>
  <cp:revision>4</cp:revision>
  <cp:lastPrinted>2015-09-18T12:22:00Z</cp:lastPrinted>
  <dcterms:created xsi:type="dcterms:W3CDTF">2015-09-18T12:17:00Z</dcterms:created>
  <dcterms:modified xsi:type="dcterms:W3CDTF">2015-09-21T09:04:00Z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