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(Add.10)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D11D3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1.10</w:t>
            </w:r>
          </w:p>
        </w:tc>
      </w:tr>
    </w:tbl>
    <w:bookmarkEnd w:id="7"/>
    <w:p w:rsidR="008B60D0" w:rsidRPr="00D42E4F" w:rsidRDefault="008E7C60" w:rsidP="006B7055">
      <w:pPr>
        <w:pStyle w:val="Normalaftertitle0"/>
        <w:rPr>
          <w:lang w:eastAsia="zh-CN"/>
        </w:rPr>
      </w:pPr>
      <w:r w:rsidRPr="009C33AA">
        <w:rPr>
          <w:lang w:eastAsia="zh-CN"/>
        </w:rPr>
        <w:t>1.10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234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zh-CN"/>
        </w:rPr>
        <w:t>22 GHz</w:t>
      </w:r>
      <w:r w:rsidRPr="009C33AA">
        <w:rPr>
          <w:rFonts w:hint="eastAsia"/>
          <w:lang w:eastAsia="zh-CN"/>
        </w:rPr>
        <w:t>至</w:t>
      </w:r>
      <w:r w:rsidRPr="009C33AA">
        <w:rPr>
          <w:lang w:eastAsia="zh-CN"/>
        </w:rPr>
        <w:t>26 GHz</w:t>
      </w:r>
      <w:r w:rsidRPr="009C33AA">
        <w:rPr>
          <w:rFonts w:hint="eastAsia"/>
          <w:lang w:eastAsia="zh-CN"/>
        </w:rPr>
        <w:t>的频率范围内卫星移动业务地对空和空对地方向（包括涵盖国际移动通信（</w:t>
      </w:r>
      <w:r w:rsidRPr="009C33AA">
        <w:rPr>
          <w:lang w:eastAsia="zh-CN"/>
        </w:rPr>
        <w:t>IMT</w:t>
      </w:r>
      <w:r w:rsidRPr="009C33AA">
        <w:rPr>
          <w:rFonts w:hint="eastAsia"/>
          <w:lang w:eastAsia="zh-CN"/>
        </w:rPr>
        <w:t>）的宽带应用的卫星部分）的频谱需求并考虑做出可能的附加频谱划分；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072612" w:rsidRDefault="008E7C60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AFCP/28A10/1</w:t>
      </w:r>
    </w:p>
    <w:p w:rsidR="00072612" w:rsidRDefault="00FD0C01" w:rsidP="006B7055">
      <w:pPr>
        <w:pStyle w:val="Title1"/>
        <w:rPr>
          <w:lang w:eastAsia="zh-CN"/>
        </w:rPr>
      </w:pPr>
      <w:r>
        <w:rPr>
          <w:rFonts w:hint="eastAsia"/>
          <w:lang w:eastAsia="zh-CN"/>
        </w:rPr>
        <w:t>《无线电规则》</w:t>
      </w:r>
    </w:p>
    <w:p w:rsidR="00072612" w:rsidRDefault="008E7C60" w:rsidP="006B705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D0C01">
        <w:rPr>
          <w:rFonts w:hint="eastAsia"/>
          <w:lang w:eastAsia="zh-CN"/>
        </w:rPr>
        <w:t>新的</w:t>
      </w:r>
      <w:r w:rsidR="008D11D3" w:rsidRPr="008D11D3">
        <w:rPr>
          <w:lang w:eastAsia="zh-CN"/>
        </w:rPr>
        <w:t>MSS</w:t>
      </w:r>
      <w:r w:rsidR="00FD0C01">
        <w:rPr>
          <w:rFonts w:hint="eastAsia"/>
          <w:lang w:eastAsia="zh-CN"/>
        </w:rPr>
        <w:t>划分将对</w:t>
      </w:r>
      <w:r w:rsidR="00FD0C01">
        <w:rPr>
          <w:rFonts w:hint="eastAsia"/>
          <w:lang w:eastAsia="zh-CN"/>
        </w:rPr>
        <w:t>FS</w:t>
      </w:r>
      <w:r w:rsidR="00FD0C01">
        <w:rPr>
          <w:rFonts w:hint="eastAsia"/>
          <w:lang w:eastAsia="zh-CN"/>
        </w:rPr>
        <w:t>的发展产生不良影响。</w:t>
      </w:r>
    </w:p>
    <w:p w:rsidR="00072612" w:rsidRDefault="008E7C60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AFCP/28A10/2</w:t>
      </w:r>
    </w:p>
    <w:p w:rsidR="00F24DDE" w:rsidRPr="00873FD8" w:rsidRDefault="008E7C60" w:rsidP="00873FD8">
      <w:pPr>
        <w:pStyle w:val="ResNo"/>
        <w:rPr>
          <w:lang w:eastAsia="zh-CN"/>
        </w:rPr>
      </w:pPr>
      <w:bookmarkStart w:id="8" w:name="_Toc328053082"/>
      <w:r w:rsidRPr="00873FD8">
        <w:rPr>
          <w:rFonts w:hint="eastAsia"/>
          <w:lang w:eastAsia="zh-CN"/>
        </w:rPr>
        <w:t>第</w:t>
      </w:r>
      <w:r w:rsidRPr="00873FD8">
        <w:rPr>
          <w:rStyle w:val="href"/>
          <w:rFonts w:hint="eastAsia"/>
          <w:lang w:eastAsia="zh-CN"/>
        </w:rPr>
        <w:t>234</w:t>
      </w:r>
      <w:r w:rsidRPr="00873FD8">
        <w:rPr>
          <w:rFonts w:hint="eastAsia"/>
          <w:lang w:eastAsia="zh-CN"/>
        </w:rPr>
        <w:t>号决议（</w:t>
      </w:r>
      <w:r w:rsidRPr="00873FD8">
        <w:rPr>
          <w:lang w:eastAsia="zh-CN"/>
        </w:rPr>
        <w:t>WRC-12</w:t>
      </w:r>
      <w:r w:rsidRPr="00873FD8">
        <w:rPr>
          <w:rFonts w:hint="eastAsia"/>
          <w:lang w:eastAsia="zh-CN"/>
        </w:rPr>
        <w:t>）</w:t>
      </w:r>
      <w:bookmarkEnd w:id="8"/>
    </w:p>
    <w:p w:rsidR="00F24DDE" w:rsidRPr="00593CC2" w:rsidRDefault="008E7C60" w:rsidP="00F24DDE">
      <w:pPr>
        <w:pStyle w:val="Restitle"/>
        <w:rPr>
          <w:rFonts w:ascii="Times New Roman" w:hAnsi="Times New Roman"/>
          <w:lang w:eastAsia="zh-CN"/>
        </w:rPr>
      </w:pPr>
      <w:bookmarkStart w:id="9" w:name="_Toc328053083"/>
      <w:r w:rsidRPr="00593CC2">
        <w:rPr>
          <w:rFonts w:ascii="Times New Roman" w:hint="eastAsia"/>
          <w:lang w:eastAsia="zh-CN"/>
        </w:rPr>
        <w:t>在</w:t>
      </w:r>
      <w:r>
        <w:rPr>
          <w:rFonts w:hint="eastAsia"/>
          <w:lang w:eastAsia="zh-CN"/>
        </w:rPr>
        <w:t>22</w:t>
      </w:r>
      <w:r w:rsidRPr="00274E84">
        <w:rPr>
          <w:lang w:eastAsia="zh-CN"/>
        </w:rPr>
        <w:t xml:space="preserve"> GHz</w:t>
      </w:r>
      <w:r>
        <w:rPr>
          <w:rFonts w:hint="eastAsia"/>
          <w:lang w:eastAsia="zh-CN"/>
        </w:rPr>
        <w:t>至</w:t>
      </w:r>
      <w:r>
        <w:rPr>
          <w:rFonts w:hint="eastAsia"/>
          <w:lang w:eastAsia="zh-CN"/>
        </w:rPr>
        <w:t>26 GHz</w:t>
      </w:r>
      <w:r>
        <w:rPr>
          <w:rFonts w:ascii="Times New Roman" w:hAnsi="Times New Roman" w:hint="eastAsia"/>
          <w:lang w:eastAsia="zh-CN"/>
        </w:rPr>
        <w:t>频段内增加</w:t>
      </w:r>
      <w:r w:rsidRPr="00593CC2">
        <w:rPr>
          <w:rFonts w:ascii="Times New Roman" w:hint="eastAsia"/>
          <w:lang w:eastAsia="zh-CN"/>
        </w:rPr>
        <w:t>卫星移动业务</w:t>
      </w:r>
      <w:r>
        <w:rPr>
          <w:rFonts w:ascii="Times New Roman"/>
          <w:lang w:eastAsia="zh-CN"/>
        </w:rPr>
        <w:br/>
      </w:r>
      <w:r>
        <w:rPr>
          <w:rFonts w:ascii="Times New Roman" w:hAnsi="Times New Roman" w:hint="eastAsia"/>
          <w:lang w:eastAsia="zh-CN"/>
        </w:rPr>
        <w:t>主要业务</w:t>
      </w:r>
      <w:r w:rsidRPr="00593CC2">
        <w:rPr>
          <w:rFonts w:ascii="Times New Roman" w:hint="eastAsia"/>
          <w:lang w:eastAsia="zh-CN"/>
        </w:rPr>
        <w:t>的划分</w:t>
      </w:r>
      <w:bookmarkEnd w:id="9"/>
    </w:p>
    <w:p w:rsidR="00072612" w:rsidRDefault="008E7C60" w:rsidP="006B7055">
      <w:pPr>
        <w:pStyle w:val="Reasons"/>
        <w:rPr>
          <w:lang w:eastAsia="zh-CN"/>
        </w:rPr>
      </w:pPr>
      <w:r w:rsidRPr="006B7055">
        <w:rPr>
          <w:b/>
          <w:bCs/>
          <w:lang w:eastAsia="zh-CN"/>
        </w:rPr>
        <w:t>理由：</w:t>
      </w:r>
      <w:r w:rsidRPr="006B7055">
        <w:rPr>
          <w:lang w:eastAsia="zh-CN"/>
        </w:rPr>
        <w:tab/>
      </w:r>
      <w:r w:rsidR="008D11D3" w:rsidRPr="006B7055">
        <w:rPr>
          <w:rFonts w:hint="eastAsia"/>
          <w:lang w:eastAsia="zh-CN"/>
        </w:rPr>
        <w:t>如大会同意上述提案，则可能不再需要第</w:t>
      </w:r>
      <w:r w:rsidR="008D11D3" w:rsidRPr="006B7055">
        <w:rPr>
          <w:lang w:eastAsia="zh-CN"/>
        </w:rPr>
        <w:t>234</w:t>
      </w:r>
      <w:r w:rsidR="008D11D3" w:rsidRPr="006B7055">
        <w:rPr>
          <w:rFonts w:hint="eastAsia"/>
          <w:lang w:eastAsia="zh-CN"/>
        </w:rPr>
        <w:t>号决议。</w:t>
      </w:r>
    </w:p>
    <w:p w:rsidR="006B7055" w:rsidRDefault="006B7055" w:rsidP="0032202E">
      <w:pPr>
        <w:pStyle w:val="Reasons"/>
      </w:pPr>
    </w:p>
    <w:p w:rsidR="006B7055" w:rsidRDefault="006B7055">
      <w:pPr>
        <w:jc w:val="center"/>
      </w:pPr>
      <w:r>
        <w:t>______________</w:t>
      </w:r>
    </w:p>
    <w:p w:rsidR="006B7055" w:rsidRPr="006B7055" w:rsidRDefault="006B7055" w:rsidP="006B7055">
      <w:pPr>
        <w:pStyle w:val="Reasons"/>
        <w:rPr>
          <w:lang w:eastAsia="zh-CN"/>
        </w:rPr>
      </w:pPr>
      <w:bookmarkStart w:id="10" w:name="_GoBack"/>
      <w:bookmarkEnd w:id="10"/>
    </w:p>
    <w:sectPr w:rsidR="006B7055" w:rsidRPr="006B7055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8E7C60" w:rsidRDefault="00FD0C01" w:rsidP="008E7C60">
    <w:pPr>
      <w:pStyle w:val="Footer"/>
    </w:pPr>
    <w:fldSimple w:instr=" FILENAME \p  \* MERGEFORMAT ">
      <w:r w:rsidR="00214AA2">
        <w:t>P:\CHI\ITU-R\CONF-R\CMR15\000\028ADD10C.docx</w:t>
      </w:r>
    </w:fldSimple>
    <w:r w:rsidR="008E7C60">
      <w:t xml:space="preserve"> (387028)</w:t>
    </w:r>
    <w:r w:rsidR="008E7C60">
      <w:tab/>
    </w:r>
    <w:r w:rsidR="008E7C60">
      <w:fldChar w:fldCharType="begin"/>
    </w:r>
    <w:r w:rsidR="008E7C60">
      <w:instrText xml:space="preserve"> SAVEDATE \@ DD.MM.YY </w:instrText>
    </w:r>
    <w:r w:rsidR="008E7C60">
      <w:fldChar w:fldCharType="separate"/>
    </w:r>
    <w:r w:rsidR="00214AA2">
      <w:t>29.09.15</w:t>
    </w:r>
    <w:r w:rsidR="008E7C60">
      <w:fldChar w:fldCharType="end"/>
    </w:r>
    <w:r w:rsidR="008E7C60">
      <w:tab/>
    </w:r>
    <w:r w:rsidR="008E7C60">
      <w:fldChar w:fldCharType="begin"/>
    </w:r>
    <w:r w:rsidR="008E7C60">
      <w:instrText xml:space="preserve"> PRINTDATE \@ DD.MM.YY </w:instrText>
    </w:r>
    <w:r w:rsidR="008E7C60">
      <w:fldChar w:fldCharType="separate"/>
    </w:r>
    <w:r w:rsidR="00214AA2">
      <w:t>29.09.15</w:t>
    </w:r>
    <w:r w:rsidR="008E7C6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8E7C60" w:rsidRDefault="00FD0C01" w:rsidP="008E7C60">
    <w:pPr>
      <w:pStyle w:val="Footer"/>
    </w:pPr>
    <w:fldSimple w:instr=" FILENAME \p  \* MERGEFORMAT ">
      <w:r w:rsidR="00214AA2">
        <w:t>P:\CHI\ITU-R\CONF-R\CMR15\000\028ADD10C.docx</w:t>
      </w:r>
    </w:fldSimple>
    <w:r w:rsidR="008E7C60">
      <w:t xml:space="preserve"> (387028)</w:t>
    </w:r>
    <w:r w:rsidR="008E7C60">
      <w:tab/>
    </w:r>
    <w:r w:rsidR="008E7C60">
      <w:fldChar w:fldCharType="begin"/>
    </w:r>
    <w:r w:rsidR="008E7C60">
      <w:instrText xml:space="preserve"> SAVEDATE \@ DD.MM.YY </w:instrText>
    </w:r>
    <w:r w:rsidR="008E7C60">
      <w:fldChar w:fldCharType="separate"/>
    </w:r>
    <w:r w:rsidR="00214AA2">
      <w:t>29.09.15</w:t>
    </w:r>
    <w:r w:rsidR="008E7C60">
      <w:fldChar w:fldCharType="end"/>
    </w:r>
    <w:r w:rsidR="008E7C60">
      <w:tab/>
    </w:r>
    <w:r w:rsidR="008E7C60">
      <w:fldChar w:fldCharType="begin"/>
    </w:r>
    <w:r w:rsidR="008E7C60">
      <w:instrText xml:space="preserve"> PRINTDATE \@ DD.MM.YY </w:instrText>
    </w:r>
    <w:r w:rsidR="008E7C60">
      <w:fldChar w:fldCharType="separate"/>
    </w:r>
    <w:r w:rsidR="00214AA2">
      <w:t>29.09.15</w:t>
    </w:r>
    <w:r w:rsidR="008E7C6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4AA2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28(Add.10)-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72612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14AA2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46B11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B7055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73FD8"/>
    <w:rsid w:val="008A7416"/>
    <w:rsid w:val="008B6852"/>
    <w:rsid w:val="008C26FF"/>
    <w:rsid w:val="008D11D3"/>
    <w:rsid w:val="008D1D14"/>
    <w:rsid w:val="008E1785"/>
    <w:rsid w:val="008E7127"/>
    <w:rsid w:val="008E7C60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56ADF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02215"/>
    <w:rsid w:val="00F837F4"/>
    <w:rsid w:val="00FC59C4"/>
    <w:rsid w:val="00FD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FD5A87-935A-4303-909B-82DDA2B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R15-WRC15-C-0028!A10!MSW-C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C86A1-BF7C-43EB-8CA1-38673175304D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996b2e75-67fd-4955-a3b0-5ab9934cb50b"/>
    <ds:schemaRef ds:uri="32a1a8c5-2265-4ebc-b7a0-2071e2c5c9b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346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R15-WRC15-C-0028!A10!MSW-C</vt:lpstr>
    </vt:vector>
  </TitlesOfParts>
  <Manager>General Secretariat - Pool</Manager>
  <Company>International Telecommunication Union (ITU)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R15-WRC15-C-0028!A10!MSW-C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2015-09-29T09:37:00Z</cp:lastPrinted>
  <dcterms:created xsi:type="dcterms:W3CDTF">2015-09-29T09:36:00Z</dcterms:created>
  <dcterms:modified xsi:type="dcterms:W3CDTF">2015-09-29T09:37:00Z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