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3F69AB">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3F69AB">
            <w:pPr>
              <w:spacing w:before="0"/>
              <w:rPr>
                <w:lang w:bidi="ar-EG"/>
              </w:rPr>
            </w:pPr>
          </w:p>
        </w:tc>
      </w:tr>
      <w:tr w:rsidR="00280E04" w:rsidTr="003E1608">
        <w:trPr>
          <w:cantSplit/>
          <w:trHeight w:val="20"/>
        </w:trPr>
        <w:tc>
          <w:tcPr>
            <w:tcW w:w="6619" w:type="dxa"/>
            <w:tcBorders>
              <w:top w:val="single" w:sz="12" w:space="0" w:color="auto"/>
            </w:tcBorders>
          </w:tcPr>
          <w:p w:rsidR="00280E04" w:rsidRPr="00BA09E5" w:rsidRDefault="00280E04" w:rsidP="003F69AB">
            <w:pPr>
              <w:pStyle w:val="Adress"/>
              <w:framePr w:hSpace="0" w:wrap="auto" w:xAlign="left" w:yAlign="inline"/>
              <w:spacing w:before="0"/>
              <w:rPr>
                <w:rFonts w:ascii="Verdana" w:hAnsi="Verdana"/>
                <w:rtl/>
              </w:rPr>
            </w:pPr>
          </w:p>
        </w:tc>
        <w:tc>
          <w:tcPr>
            <w:tcW w:w="3053" w:type="dxa"/>
            <w:tcBorders>
              <w:top w:val="single" w:sz="12" w:space="0" w:color="auto"/>
            </w:tcBorders>
          </w:tcPr>
          <w:p w:rsidR="00280E04" w:rsidRPr="00BA09E5" w:rsidRDefault="00280E04" w:rsidP="003F69AB">
            <w:pPr>
              <w:pStyle w:val="Adress"/>
              <w:framePr w:hSpace="0" w:wrap="auto" w:xAlign="left" w:yAlign="inline"/>
              <w:spacing w:before="0"/>
              <w:rPr>
                <w:rFonts w:ascii="Verdana" w:hAnsi="Verdana"/>
              </w:rPr>
            </w:pPr>
          </w:p>
        </w:tc>
      </w:tr>
      <w:tr w:rsidR="003E1608" w:rsidTr="003E1608">
        <w:trPr>
          <w:cantSplit/>
        </w:trPr>
        <w:tc>
          <w:tcPr>
            <w:tcW w:w="6619" w:type="dxa"/>
            <w:shd w:val="clear" w:color="auto" w:fill="auto"/>
          </w:tcPr>
          <w:p w:rsidR="003E1608" w:rsidRPr="00BA09E5" w:rsidRDefault="00E165ED" w:rsidP="003F69AB">
            <w:pPr>
              <w:pStyle w:val="Committee"/>
              <w:framePr w:hSpace="0" w:wrap="auto" w:hAnchor="text" w:yAlign="inline"/>
              <w:tabs>
                <w:tab w:val="clear" w:pos="2268"/>
                <w:tab w:val="left" w:pos="2448"/>
              </w:tabs>
              <w:bidi/>
              <w:rPr>
                <w:rFonts w:ascii="Verdana" w:hAnsi="Verdana" w:cs="Traditional Arabic"/>
                <w:sz w:val="30"/>
                <w:szCs w:val="30"/>
                <w:rtl/>
              </w:rPr>
            </w:pPr>
            <w:r w:rsidRPr="00BA09E5">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BA09E5" w:rsidRDefault="003E1608" w:rsidP="003F69AB">
            <w:pPr>
              <w:pStyle w:val="Adress"/>
              <w:framePr w:hSpace="0" w:wrap="auto" w:xAlign="left" w:yAlign="inline"/>
              <w:spacing w:before="0"/>
              <w:rPr>
                <w:rFonts w:ascii="Verdana" w:hAnsi="Verdana"/>
                <w:rtl/>
              </w:rPr>
            </w:pPr>
            <w:r w:rsidRPr="00BA09E5">
              <w:rPr>
                <w:rFonts w:ascii="Verdana" w:hAnsi="Verdana"/>
                <w:rtl/>
              </w:rPr>
              <w:t xml:space="preserve">الإضافة </w:t>
            </w:r>
            <w:r w:rsidRPr="00BA09E5">
              <w:rPr>
                <w:rFonts w:ascii="Verdana" w:hAnsi="Verdana"/>
              </w:rPr>
              <w:t>2</w:t>
            </w:r>
            <w:r w:rsidRPr="00BA09E5">
              <w:rPr>
                <w:rFonts w:ascii="Verdana" w:hAnsi="Verdana"/>
              </w:rPr>
              <w:br/>
            </w:r>
            <w:r w:rsidRPr="00BA09E5">
              <w:rPr>
                <w:rFonts w:ascii="Verdana" w:hAnsi="Verdana"/>
                <w:rtl/>
              </w:rPr>
              <w:t xml:space="preserve">للوثيقة </w:t>
            </w:r>
            <w:r w:rsidRPr="00BA09E5">
              <w:rPr>
                <w:rFonts w:ascii="Verdana" w:hAnsi="Verdana"/>
              </w:rPr>
              <w:t>25(Add.9)-</w:t>
            </w:r>
            <w:r w:rsidR="00BA09E5">
              <w:rPr>
                <w:rFonts w:ascii="Verdana" w:hAnsi="Verdana"/>
              </w:rPr>
              <w:t>A</w:t>
            </w:r>
          </w:p>
        </w:tc>
      </w:tr>
      <w:tr w:rsidR="00764079" w:rsidTr="003E1608">
        <w:trPr>
          <w:cantSplit/>
        </w:trPr>
        <w:tc>
          <w:tcPr>
            <w:tcW w:w="6619" w:type="dxa"/>
            <w:shd w:val="clear" w:color="auto" w:fill="auto"/>
          </w:tcPr>
          <w:p w:rsidR="00764079" w:rsidRPr="00BA09E5" w:rsidRDefault="00764079" w:rsidP="003F69AB">
            <w:pPr>
              <w:pStyle w:val="Adress"/>
              <w:framePr w:hSpace="0" w:wrap="auto" w:xAlign="left" w:yAlign="inline"/>
              <w:spacing w:before="0"/>
              <w:rPr>
                <w:rFonts w:ascii="Verdana" w:hAnsi="Verdana"/>
                <w:rtl/>
              </w:rPr>
            </w:pPr>
          </w:p>
        </w:tc>
        <w:tc>
          <w:tcPr>
            <w:tcW w:w="3053" w:type="dxa"/>
            <w:shd w:val="clear" w:color="auto" w:fill="auto"/>
            <w:vAlign w:val="center"/>
          </w:tcPr>
          <w:p w:rsidR="00764079" w:rsidRPr="00BA09E5" w:rsidRDefault="00764079" w:rsidP="003F69AB">
            <w:pPr>
              <w:pStyle w:val="Adress"/>
              <w:framePr w:hSpace="0" w:wrap="auto" w:xAlign="left" w:yAlign="inline"/>
              <w:spacing w:before="0"/>
              <w:rPr>
                <w:rFonts w:ascii="Verdana" w:hAnsi="Verdana"/>
                <w:rtl/>
              </w:rPr>
            </w:pPr>
            <w:r w:rsidRPr="00BA09E5">
              <w:rPr>
                <w:rFonts w:ascii="Verdana" w:eastAsia="SimSun" w:hAnsi="Verdana"/>
              </w:rPr>
              <w:t>10</w:t>
            </w:r>
            <w:r w:rsidRPr="00BA09E5">
              <w:rPr>
                <w:rFonts w:ascii="Verdana" w:eastAsia="SimSun" w:hAnsi="Verdana"/>
                <w:rtl/>
              </w:rPr>
              <w:t xml:space="preserve"> سبتمبر </w:t>
            </w:r>
            <w:r w:rsidRPr="00BA09E5">
              <w:rPr>
                <w:rFonts w:ascii="Verdana" w:eastAsia="SimSun" w:hAnsi="Verdana"/>
              </w:rPr>
              <w:t>2015</w:t>
            </w:r>
          </w:p>
        </w:tc>
      </w:tr>
      <w:tr w:rsidR="00764079" w:rsidTr="003E1608">
        <w:trPr>
          <w:cantSplit/>
        </w:trPr>
        <w:tc>
          <w:tcPr>
            <w:tcW w:w="6619" w:type="dxa"/>
          </w:tcPr>
          <w:p w:rsidR="00764079" w:rsidRPr="00BA09E5" w:rsidRDefault="00764079" w:rsidP="003F69AB">
            <w:pPr>
              <w:pStyle w:val="Adress"/>
              <w:framePr w:hSpace="0" w:wrap="auto" w:xAlign="left" w:yAlign="inline"/>
              <w:spacing w:before="0"/>
              <w:rPr>
                <w:rFonts w:ascii="Verdana" w:eastAsia="SimSun" w:hAnsi="Verdana"/>
                <w:rtl/>
              </w:rPr>
            </w:pPr>
          </w:p>
        </w:tc>
        <w:tc>
          <w:tcPr>
            <w:tcW w:w="3053" w:type="dxa"/>
            <w:vAlign w:val="center"/>
          </w:tcPr>
          <w:p w:rsidR="00764079" w:rsidRPr="00BA09E5" w:rsidRDefault="00764079" w:rsidP="003F69AB">
            <w:pPr>
              <w:pStyle w:val="Adress"/>
              <w:framePr w:hSpace="0" w:wrap="auto" w:xAlign="left" w:yAlign="inline"/>
              <w:spacing w:before="0"/>
              <w:rPr>
                <w:rFonts w:ascii="Verdana" w:eastAsia="SimSun" w:hAnsi="Verdana"/>
              </w:rPr>
            </w:pPr>
            <w:r w:rsidRPr="00BA09E5">
              <w:rPr>
                <w:rFonts w:ascii="Verdana" w:eastAsia="SimSun" w:hAnsi="Verdana"/>
                <w:rtl/>
              </w:rPr>
              <w:t>الأصل: بالعربية</w:t>
            </w:r>
          </w:p>
        </w:tc>
      </w:tr>
      <w:tr w:rsidR="00764079" w:rsidTr="003E1608">
        <w:trPr>
          <w:cantSplit/>
        </w:trPr>
        <w:tc>
          <w:tcPr>
            <w:tcW w:w="9672" w:type="dxa"/>
            <w:gridSpan w:val="2"/>
          </w:tcPr>
          <w:p w:rsidR="00764079" w:rsidRPr="00BA09E5"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BA09E5" w:rsidP="00D44350">
            <w:pPr>
              <w:pStyle w:val="Title1"/>
              <w:spacing w:before="240"/>
              <w:rPr>
                <w:rtl/>
              </w:rPr>
            </w:pPr>
            <w:r>
              <w:rPr>
                <w:rFonts w:hint="cs"/>
                <w:rtl/>
              </w:rPr>
              <w:t>مقترحات بشأن أعمال ال</w:t>
            </w:r>
            <w:r w:rsidR="00632E1D">
              <w:rPr>
                <w:rFonts w:hint="cs"/>
                <w:rtl/>
              </w:rPr>
              <w:t>‍</w:t>
            </w:r>
            <w:r>
              <w:rPr>
                <w:rFonts w:hint="cs"/>
                <w:rtl/>
              </w:rPr>
              <w:t>مؤت</w:t>
            </w:r>
            <w:r w:rsidR="00632E1D">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BA09E5">
            <w:pPr>
              <w:pStyle w:val="Agendaitem"/>
              <w:spacing w:before="240" w:line="192" w:lineRule="auto"/>
            </w:pPr>
            <w:r w:rsidRPr="008204AC">
              <w:rPr>
                <w:rtl/>
              </w:rPr>
              <w:t xml:space="preserve">البنـد </w:t>
            </w:r>
            <w:r w:rsidR="00BA09E5">
              <w:t>2.9.1</w:t>
            </w:r>
            <w:r w:rsidRPr="008204AC">
              <w:rPr>
                <w:rtl/>
              </w:rPr>
              <w:t xml:space="preserve"> من جدول الأعمال</w:t>
            </w:r>
          </w:p>
        </w:tc>
      </w:tr>
    </w:tbl>
    <w:p w:rsidR="001D597A" w:rsidRPr="00431196" w:rsidRDefault="00364A44" w:rsidP="007C531C">
      <w:pPr>
        <w:pStyle w:val="Normalaftertitle"/>
        <w:rPr>
          <w:rFonts w:eastAsia="SimSun"/>
          <w:rtl/>
        </w:rPr>
      </w:pPr>
      <w:r w:rsidRPr="00431196">
        <w:rPr>
          <w:rFonts w:eastAsia="SimSun"/>
        </w:rPr>
        <w:t>9.1</w:t>
      </w:r>
      <w:r w:rsidRPr="00431196">
        <w:rPr>
          <w:rFonts w:eastAsia="SimSun" w:hint="cs"/>
          <w:rtl/>
        </w:rPr>
        <w:tab/>
      </w:r>
      <w:bookmarkStart w:id="1" w:name="_GoBack"/>
      <w:bookmarkEnd w:id="1"/>
      <w:r w:rsidRPr="00431196">
        <w:rPr>
          <w:rFonts w:eastAsia="SimSun" w:hint="cs"/>
          <w:rtl/>
        </w:rPr>
        <w:t xml:space="preserve">النظر وفقاً للقرار </w:t>
      </w:r>
      <w:r w:rsidRPr="00431196">
        <w:rPr>
          <w:rFonts w:eastAsia="SimSun"/>
          <w:b/>
          <w:bCs/>
        </w:rPr>
        <w:t>758 </w:t>
      </w:r>
      <w:r w:rsidRPr="00431196">
        <w:rPr>
          <w:rFonts w:eastAsia="SimSun"/>
          <w:b/>
        </w:rPr>
        <w:t>(WRC</w:t>
      </w:r>
      <w:r w:rsidRPr="00431196">
        <w:rPr>
          <w:rFonts w:eastAsia="SimSun"/>
          <w:b/>
        </w:rPr>
        <w:noBreakHyphen/>
        <w:t>12)</w:t>
      </w:r>
      <w:r w:rsidRPr="00431196">
        <w:rPr>
          <w:rFonts w:eastAsia="SimSun" w:hint="cs"/>
          <w:rtl/>
        </w:rPr>
        <w:t xml:space="preserve"> في:</w:t>
      </w:r>
    </w:p>
    <w:p w:rsidR="001D597A" w:rsidRDefault="00364A44" w:rsidP="001D597A">
      <w:pPr>
        <w:rPr>
          <w:rFonts w:eastAsia="SimSun"/>
          <w:rtl/>
        </w:rPr>
      </w:pPr>
      <w:r w:rsidRPr="00431196">
        <w:rPr>
          <w:rFonts w:eastAsia="SimSun"/>
        </w:rPr>
        <w:t>2.9.1</w:t>
      </w:r>
      <w:r w:rsidRPr="00431196">
        <w:rPr>
          <w:rFonts w:eastAsia="SimSun" w:hint="cs"/>
          <w:rtl/>
        </w:rPr>
        <w:tab/>
        <w:t xml:space="preserve">إمكانية توزيع النطاقين </w:t>
      </w:r>
      <w:r w:rsidRPr="00431196">
        <w:rPr>
          <w:rFonts w:eastAsia="SimSun"/>
        </w:rPr>
        <w:t>MHz 7 750</w:t>
      </w:r>
      <w:r w:rsidRPr="00431196">
        <w:rPr>
          <w:rFonts w:eastAsia="SimSun"/>
        </w:rPr>
        <w:noBreakHyphen/>
        <w:t>7 375</w:t>
      </w:r>
      <w:r w:rsidRPr="00431196">
        <w:rPr>
          <w:rFonts w:eastAsia="SimSun" w:hint="cs"/>
          <w:rtl/>
        </w:rPr>
        <w:t xml:space="preserve"> و</w:t>
      </w:r>
      <w:r w:rsidRPr="00431196">
        <w:rPr>
          <w:rFonts w:eastAsia="SimSun"/>
        </w:rPr>
        <w:t>MHz 8 400</w:t>
      </w:r>
      <w:r w:rsidRPr="00431196">
        <w:rPr>
          <w:rFonts w:eastAsia="SimSun"/>
        </w:rPr>
        <w:noBreakHyphen/>
        <w:t>8 025</w:t>
      </w:r>
      <w:r w:rsidRPr="00431196">
        <w:rPr>
          <w:rFonts w:eastAsia="SimSun" w:hint="cs"/>
          <w:rtl/>
        </w:rPr>
        <w:t xml:space="preserve"> للخدمة المتنقلة البحرية الساتلية والتدابير التنظيمية الإضافية حسب نتائج الدراسات ذات الصلة؛</w:t>
      </w:r>
    </w:p>
    <w:p w:rsidR="00341C5A" w:rsidRPr="00431196" w:rsidRDefault="00341C5A" w:rsidP="001D597A">
      <w:pPr>
        <w:rPr>
          <w:rFonts w:eastAsia="SimSun"/>
          <w:rtl/>
        </w:rPr>
      </w:pPr>
    </w:p>
    <w:p w:rsidR="00F16602" w:rsidRDefault="00BA09E5" w:rsidP="00BA09E5">
      <w:pPr>
        <w:pStyle w:val="Headingb"/>
        <w:rPr>
          <w:rtl/>
        </w:rPr>
      </w:pPr>
      <w:r>
        <w:rPr>
          <w:rFonts w:hint="cs"/>
          <w:rtl/>
        </w:rPr>
        <w:t>مقدمة</w:t>
      </w:r>
    </w:p>
    <w:p w:rsidR="00BA09E5" w:rsidRPr="00BA09E5" w:rsidRDefault="00BA09E5" w:rsidP="003F69AB">
      <w:pPr>
        <w:rPr>
          <w:rtl/>
          <w:lang w:bidi="ar-JO"/>
        </w:rPr>
      </w:pPr>
      <w:r w:rsidRPr="00BA09E5">
        <w:rPr>
          <w:rFonts w:hint="cs"/>
          <w:rtl/>
          <w:lang w:bidi="ar-JO"/>
        </w:rPr>
        <w:t xml:space="preserve">دعا </w:t>
      </w:r>
      <w:r w:rsidRPr="00BA09E5">
        <w:rPr>
          <w:rFonts w:hint="cs"/>
          <w:rtl/>
        </w:rPr>
        <w:t>المؤتمر العالمي للاتصالات الراديوية لعام</w:t>
      </w:r>
      <w:r>
        <w:rPr>
          <w:rFonts w:hint="eastAsia"/>
          <w:rtl/>
        </w:rPr>
        <w:t> </w:t>
      </w:r>
      <w:r w:rsidRPr="00BA09E5">
        <w:rPr>
          <w:lang w:bidi="ar-EG"/>
        </w:rPr>
        <w:t>2012</w:t>
      </w:r>
      <w:r w:rsidRPr="00BA09E5">
        <w:rPr>
          <w:rFonts w:hint="cs"/>
          <w:rtl/>
        </w:rPr>
        <w:t xml:space="preserve"> </w:t>
      </w:r>
      <w:r w:rsidRPr="00BA09E5">
        <w:rPr>
          <w:lang w:bidi="ar-EG"/>
        </w:rPr>
        <w:t>(WRC-12)</w:t>
      </w:r>
      <w:r w:rsidRPr="00BA09E5">
        <w:rPr>
          <w:rFonts w:hint="cs"/>
          <w:rtl/>
          <w:lang w:bidi="ar-JO"/>
        </w:rPr>
        <w:t xml:space="preserve"> في</w:t>
      </w:r>
      <w:r>
        <w:rPr>
          <w:rFonts w:hint="eastAsia"/>
          <w:rtl/>
          <w:lang w:bidi="ar-JO"/>
        </w:rPr>
        <w:t> </w:t>
      </w:r>
      <w:r w:rsidRPr="00BA09E5">
        <w:rPr>
          <w:rFonts w:hint="cs"/>
          <w:rtl/>
          <w:lang w:bidi="ar-JO"/>
        </w:rPr>
        <w:t>قراره</w:t>
      </w:r>
      <w:r>
        <w:rPr>
          <w:rFonts w:hint="eastAsia"/>
          <w:rtl/>
          <w:lang w:bidi="ar-JO"/>
        </w:rPr>
        <w:t> </w:t>
      </w:r>
      <w:r w:rsidRPr="004872B4">
        <w:rPr>
          <w:bCs/>
          <w:lang w:bidi="ar-EG"/>
        </w:rPr>
        <w:t>758 (WRC-12)</w:t>
      </w:r>
      <w:r w:rsidRPr="00BA09E5">
        <w:rPr>
          <w:rFonts w:hint="cs"/>
          <w:rtl/>
          <w:lang w:bidi="ar-JO"/>
        </w:rPr>
        <w:t xml:space="preserve"> قطاع الاتصالات الراديوية</w:t>
      </w:r>
      <w:r w:rsidRPr="00BA09E5">
        <w:rPr>
          <w:rFonts w:hint="eastAsia"/>
          <w:lang w:bidi="ar-EG"/>
        </w:rPr>
        <w:t> </w:t>
      </w:r>
      <w:r w:rsidRPr="00BA09E5">
        <w:rPr>
          <w:rFonts w:hint="cs"/>
          <w:rtl/>
          <w:lang w:bidi="ar-JO"/>
        </w:rPr>
        <w:t xml:space="preserve"> إلى إجراء دراسات تقنية وتنظيمية بشأن إمكان توزيع نطاقي التردد</w:t>
      </w:r>
      <w:r w:rsidRPr="00BA09E5">
        <w:rPr>
          <w:rFonts w:hint="eastAsia"/>
          <w:rtl/>
          <w:lang w:bidi="ar-JO"/>
        </w:rPr>
        <w:t> </w:t>
      </w:r>
      <w:r w:rsidRPr="00BA09E5">
        <w:rPr>
          <w:lang w:bidi="ar-EG"/>
        </w:rPr>
        <w:t>MHz 7 750</w:t>
      </w:r>
      <w:r w:rsidRPr="00BA09E5">
        <w:rPr>
          <w:lang w:bidi="ar-EG"/>
        </w:rPr>
        <w:noBreakHyphen/>
        <w:t>7 375</w:t>
      </w:r>
      <w:r w:rsidRPr="00BA09E5">
        <w:rPr>
          <w:rFonts w:hint="cs"/>
          <w:rtl/>
          <w:lang w:bidi="ar-JO"/>
        </w:rPr>
        <w:t xml:space="preserve"> و</w:t>
      </w:r>
      <w:r w:rsidRPr="00BA09E5">
        <w:rPr>
          <w:lang w:bidi="ar-EG"/>
        </w:rPr>
        <w:t>MHz 8 400-8 025</w:t>
      </w:r>
      <w:r w:rsidRPr="00BA09E5">
        <w:rPr>
          <w:rFonts w:hint="cs"/>
          <w:rtl/>
          <w:lang w:bidi="ar-JO"/>
        </w:rPr>
        <w:t xml:space="preserve"> أو جزء منهما على </w:t>
      </w:r>
      <w:r w:rsidRPr="00BA09E5">
        <w:rPr>
          <w:rFonts w:hint="cs"/>
          <w:rtl/>
        </w:rPr>
        <w:t xml:space="preserve">محطات </w:t>
      </w:r>
      <w:r w:rsidRPr="00BA09E5">
        <w:rPr>
          <w:rFonts w:hint="cs"/>
          <w:rtl/>
          <w:lang w:bidi="ar-JO"/>
        </w:rPr>
        <w:t>الخدمة المتنقلة البحرية الساتلية</w:t>
      </w:r>
      <w:r w:rsidRPr="00BA09E5">
        <w:rPr>
          <w:rFonts w:hint="eastAsia"/>
          <w:rtl/>
          <w:lang w:bidi="ar-JO"/>
        </w:rPr>
        <w:t> </w:t>
      </w:r>
      <w:r w:rsidRPr="00BA09E5">
        <w:rPr>
          <w:lang w:bidi="ar-EG"/>
        </w:rPr>
        <w:t>(MMSS)</w:t>
      </w:r>
      <w:r w:rsidRPr="00BA09E5">
        <w:rPr>
          <w:rFonts w:hint="cs"/>
          <w:rtl/>
          <w:lang w:bidi="ar-JO"/>
        </w:rPr>
        <w:t xml:space="preserve"> ساهراً في الوقت نفسه على التوافق بين الخدمات القائمة.</w:t>
      </w:r>
    </w:p>
    <w:p w:rsidR="00BA09E5" w:rsidRPr="00BA09E5" w:rsidRDefault="00BA09E5" w:rsidP="00BA09E5">
      <w:pPr>
        <w:rPr>
          <w:rtl/>
          <w:lang w:bidi="ar-JO"/>
        </w:rPr>
      </w:pPr>
      <w:r w:rsidRPr="00BA09E5">
        <w:rPr>
          <w:rFonts w:hint="cs"/>
          <w:rtl/>
          <w:lang w:bidi="ar-JO"/>
        </w:rPr>
        <w:t>وتبيِّن الدراسات التي أجراها قطاع الاتصالات الراديوية أن ثمة محطات أرضية كثيرة، في جميع أنحاء العالم، تشغَّل في مرافق علمية، ومحطات أرضية ثابتة ومتنقلة تتعيَّن حمايتها من التداخل الضار المتأتي من محطات الخدمة المتنقلة البحرية الساتلية العاملة في</w:t>
      </w:r>
      <w:r w:rsidRPr="00BA09E5">
        <w:rPr>
          <w:rFonts w:hint="eastAsia"/>
          <w:rtl/>
          <w:lang w:bidi="ar-JO"/>
        </w:rPr>
        <w:t> </w:t>
      </w:r>
      <w:r w:rsidRPr="00BA09E5">
        <w:rPr>
          <w:rFonts w:hint="cs"/>
          <w:rtl/>
          <w:lang w:bidi="ar-JO"/>
        </w:rPr>
        <w:t>نطاقَي التردد هذين. ووفقاً لهذه الدراسات يتعيَّن أن يكون مقدار المسافات الفاصلة في حدود عدة مئات من الكيلومترات لحماية المحطات الأرضية لخدمة استكشاف الأرض الساتلية</w:t>
      </w:r>
      <w:r w:rsidRPr="00BA09E5">
        <w:rPr>
          <w:rFonts w:hint="eastAsia"/>
          <w:rtl/>
          <w:lang w:bidi="ar-JO"/>
        </w:rPr>
        <w:t> </w:t>
      </w:r>
      <w:r w:rsidRPr="00BA09E5">
        <w:rPr>
          <w:lang w:bidi="ar-EG"/>
        </w:rPr>
        <w:t>(EESS)</w:t>
      </w:r>
      <w:r w:rsidRPr="00BA09E5">
        <w:rPr>
          <w:rFonts w:hint="cs"/>
          <w:rtl/>
          <w:lang w:bidi="ar-JO"/>
        </w:rPr>
        <w:t xml:space="preserve"> والمحطات الثابتة من التداخل.</w:t>
      </w:r>
    </w:p>
    <w:p w:rsidR="00BA09E5" w:rsidRPr="00BA09E5" w:rsidRDefault="00BA09E5" w:rsidP="00BA09E5">
      <w:pPr>
        <w:pStyle w:val="Headingb"/>
        <w:rPr>
          <w:rtl/>
        </w:rPr>
      </w:pPr>
      <w:r w:rsidRPr="00BA09E5">
        <w:rPr>
          <w:rFonts w:hint="cs"/>
          <w:rtl/>
        </w:rPr>
        <w:t>المقترحات</w:t>
      </w:r>
    </w:p>
    <w:p w:rsidR="00BA09E5" w:rsidRPr="00BA09E5" w:rsidRDefault="00BA09E5" w:rsidP="004872B4">
      <w:pPr>
        <w:rPr>
          <w:rtl/>
          <w:lang w:bidi="ar-EG"/>
        </w:rPr>
      </w:pPr>
      <w:r w:rsidRPr="00BA09E5">
        <w:rPr>
          <w:rFonts w:hint="cs"/>
          <w:rtl/>
          <w:lang w:bidi="ar-EG"/>
        </w:rPr>
        <w:t>وبناء</w:t>
      </w:r>
      <w:r>
        <w:rPr>
          <w:rFonts w:hint="cs"/>
          <w:rtl/>
          <w:lang w:bidi="ar-EG"/>
        </w:rPr>
        <w:t>ً</w:t>
      </w:r>
      <w:r w:rsidRPr="00BA09E5">
        <w:rPr>
          <w:rFonts w:hint="cs"/>
          <w:rtl/>
          <w:lang w:bidi="ar-EG"/>
        </w:rPr>
        <w:t xml:space="preserve"> على نتائج دراسات قطاع الاتصالات الراديوية فإن إدارات الدول العربية</w:t>
      </w:r>
      <w:r w:rsidRPr="00BA09E5">
        <w:rPr>
          <w:rtl/>
          <w:lang w:bidi="ar-EG"/>
        </w:rPr>
        <w:t xml:space="preserve"> </w:t>
      </w:r>
      <w:r w:rsidRPr="00BA09E5">
        <w:rPr>
          <w:rFonts w:hint="cs"/>
          <w:rtl/>
          <w:lang w:bidi="ar-EG"/>
        </w:rPr>
        <w:t>تقترح عدم منح توزيع للخدمة المتنقلة البحرية الساتلية في</w:t>
      </w:r>
      <w:r>
        <w:rPr>
          <w:rFonts w:hint="eastAsia"/>
          <w:rtl/>
          <w:lang w:bidi="ar-EG"/>
        </w:rPr>
        <w:t> </w:t>
      </w:r>
      <w:r w:rsidRPr="00BA09E5">
        <w:rPr>
          <w:rFonts w:hint="cs"/>
          <w:rtl/>
          <w:lang w:bidi="ar-EG"/>
        </w:rPr>
        <w:t>النطاق</w:t>
      </w:r>
      <w:r>
        <w:rPr>
          <w:rFonts w:hint="eastAsia"/>
          <w:rtl/>
          <w:lang w:bidi="ar-EG"/>
        </w:rPr>
        <w:t> </w:t>
      </w:r>
      <w:r w:rsidRPr="00BA09E5">
        <w:rPr>
          <w:lang w:bidi="ar-JO"/>
        </w:rPr>
        <w:t>MHz</w:t>
      </w:r>
      <w:r>
        <w:rPr>
          <w:lang w:bidi="ar-JO"/>
        </w:rPr>
        <w:t> </w:t>
      </w:r>
      <w:r w:rsidRPr="00BA09E5">
        <w:rPr>
          <w:lang w:bidi="ar-JO"/>
        </w:rPr>
        <w:t>7 750</w:t>
      </w:r>
      <w:r>
        <w:rPr>
          <w:lang w:bidi="ar-JO"/>
        </w:rPr>
        <w:noBreakHyphen/>
      </w:r>
      <w:r w:rsidRPr="00BA09E5">
        <w:rPr>
          <w:lang w:bidi="ar-JO"/>
        </w:rPr>
        <w:t>7 375</w:t>
      </w:r>
      <w:r w:rsidRPr="00BA09E5">
        <w:rPr>
          <w:rFonts w:hint="cs"/>
          <w:rtl/>
          <w:lang w:bidi="ar-EG"/>
        </w:rPr>
        <w:t xml:space="preserve"> والنطاق </w:t>
      </w:r>
      <w:r w:rsidRPr="00BA09E5">
        <w:rPr>
          <w:lang w:bidi="ar-JO"/>
        </w:rPr>
        <w:t>MHz 8 400</w:t>
      </w:r>
      <w:r w:rsidRPr="00BA09E5">
        <w:rPr>
          <w:lang w:bidi="ar-JO"/>
        </w:rPr>
        <w:noBreakHyphen/>
        <w:t>8 025</w:t>
      </w:r>
      <w:r w:rsidRPr="00BA09E5">
        <w:rPr>
          <w:rFonts w:hint="cs"/>
          <w:rtl/>
          <w:lang w:bidi="ar-EG"/>
        </w:rPr>
        <w:t>، وفقا</w:t>
      </w:r>
      <w:r w:rsidR="004872B4">
        <w:rPr>
          <w:rFonts w:hint="cs"/>
          <w:rtl/>
          <w:lang w:bidi="ar-EG"/>
        </w:rPr>
        <w:t>ً</w:t>
      </w:r>
      <w:r w:rsidRPr="00BA09E5">
        <w:rPr>
          <w:rFonts w:hint="cs"/>
          <w:rtl/>
          <w:lang w:bidi="ar-EG"/>
        </w:rPr>
        <w:t xml:space="preserve"> للمقترحات التالية:</w:t>
      </w:r>
    </w:p>
    <w:p w:rsidR="00BA09E5" w:rsidRDefault="00BA09E5" w:rsidP="005D6D48">
      <w:pPr>
        <w:rPr>
          <w:rFonts w:hint="cs"/>
          <w:rtl/>
          <w:lang w:bidi="ar-EG"/>
        </w:rPr>
      </w:pPr>
    </w:p>
    <w:p w:rsidR="009F37C9" w:rsidRDefault="00364A44" w:rsidP="00BA09E5">
      <w:pPr>
        <w:pStyle w:val="ArtNo"/>
        <w:rPr>
          <w:rtl/>
        </w:rPr>
      </w:pPr>
      <w:r>
        <w:rPr>
          <w:rtl/>
        </w:rPr>
        <w:lastRenderedPageBreak/>
        <w:t>المـادة</w:t>
      </w:r>
      <w:r w:rsidR="00BA09E5">
        <w:rPr>
          <w:rFonts w:hint="cs"/>
          <w:rtl/>
        </w:rPr>
        <w:t> </w:t>
      </w:r>
      <w:r w:rsidRPr="008462AD">
        <w:rPr>
          <w:rStyle w:val="href"/>
        </w:rPr>
        <w:t>5</w:t>
      </w:r>
    </w:p>
    <w:p w:rsidR="009F37C9" w:rsidRPr="007031A9" w:rsidRDefault="00364A44" w:rsidP="009F37C9">
      <w:pPr>
        <w:pStyle w:val="Arttitle"/>
        <w:rPr>
          <w:b w:val="0"/>
          <w:rtl/>
        </w:rPr>
      </w:pPr>
      <w:bookmarkStart w:id="2" w:name="_Toc331055733"/>
      <w:r w:rsidRPr="007031A9">
        <w:rPr>
          <w:b w:val="0"/>
          <w:rtl/>
        </w:rPr>
        <w:t>توزيع نطاقات التردد</w:t>
      </w:r>
      <w:bookmarkEnd w:id="2"/>
    </w:p>
    <w:p w:rsidR="009F37C9" w:rsidRDefault="00364A44"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190870" w:rsidRDefault="00364A44">
      <w:pPr>
        <w:pStyle w:val="Proposal"/>
      </w:pPr>
      <w:r>
        <w:rPr>
          <w:u w:val="single"/>
        </w:rPr>
        <w:t>NOC</w:t>
      </w:r>
      <w:r>
        <w:tab/>
        <w:t>ARB/25A9A2/1</w:t>
      </w:r>
    </w:p>
    <w:p w:rsidR="009F37C9" w:rsidRPr="003F69AB" w:rsidRDefault="00364A44">
      <w:pPr>
        <w:pStyle w:val="Tabletitle"/>
        <w:rPr>
          <w:sz w:val="20"/>
          <w:szCs w:val="28"/>
          <w:rtl/>
        </w:rPr>
        <w:pPrChange w:id="3" w:author="El Wardany, Samy" w:date="2011-08-01T14:42:00Z">
          <w:pPr/>
        </w:pPrChange>
      </w:pPr>
      <w:r w:rsidRPr="003F69AB">
        <w:rPr>
          <w:sz w:val="20"/>
          <w:szCs w:val="28"/>
        </w:rPr>
        <w:t>MHz 8 500</w:t>
      </w:r>
      <w:r w:rsidRPr="003F69AB">
        <w:rPr>
          <w:sz w:val="20"/>
          <w:szCs w:val="28"/>
        </w:rPr>
        <w:noBreakHyphen/>
        <w:t>7 250</w:t>
      </w:r>
    </w:p>
    <w:tbl>
      <w:tblPr>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9"/>
        <w:gridCol w:w="3119"/>
        <w:gridCol w:w="3118"/>
      </w:tblGrid>
      <w:tr w:rsidR="00475D0D" w:rsidTr="00475D0D">
        <w:trPr>
          <w:cantSplit/>
        </w:trPr>
        <w:tc>
          <w:tcPr>
            <w:tcW w:w="9356" w:type="dxa"/>
            <w:gridSpan w:val="3"/>
          </w:tcPr>
          <w:p w:rsidR="00475D0D" w:rsidRDefault="00364A44" w:rsidP="004872B4">
            <w:pPr>
              <w:pStyle w:val="Tablehead"/>
            </w:pPr>
            <w:r>
              <w:rPr>
                <w:rtl/>
              </w:rPr>
              <w:t>التوزيع على الخدمات</w:t>
            </w:r>
          </w:p>
        </w:tc>
      </w:tr>
      <w:tr w:rsidR="00475D0D" w:rsidTr="00475D0D">
        <w:trPr>
          <w:cantSplit/>
        </w:trPr>
        <w:tc>
          <w:tcPr>
            <w:tcW w:w="3119" w:type="dxa"/>
          </w:tcPr>
          <w:p w:rsidR="00475D0D" w:rsidRDefault="00364A44" w:rsidP="004872B4">
            <w:pPr>
              <w:pStyle w:val="Tablehead"/>
            </w:pPr>
            <w:r>
              <w:rPr>
                <w:rtl/>
              </w:rPr>
              <w:t xml:space="preserve">الإقليم </w:t>
            </w:r>
            <w:r>
              <w:t>1</w:t>
            </w:r>
          </w:p>
        </w:tc>
        <w:tc>
          <w:tcPr>
            <w:tcW w:w="3119" w:type="dxa"/>
          </w:tcPr>
          <w:p w:rsidR="00475D0D" w:rsidRDefault="00364A44" w:rsidP="004872B4">
            <w:pPr>
              <w:pStyle w:val="Tablehead"/>
            </w:pPr>
            <w:r>
              <w:rPr>
                <w:rtl/>
              </w:rPr>
              <w:t xml:space="preserve">الإقليم </w:t>
            </w:r>
            <w:r>
              <w:t>2</w:t>
            </w:r>
          </w:p>
        </w:tc>
        <w:tc>
          <w:tcPr>
            <w:tcW w:w="3118" w:type="dxa"/>
          </w:tcPr>
          <w:p w:rsidR="00475D0D" w:rsidRDefault="00364A44" w:rsidP="004872B4">
            <w:pPr>
              <w:pStyle w:val="Tablehead"/>
            </w:pPr>
            <w:r>
              <w:rPr>
                <w:rtl/>
              </w:rPr>
              <w:t xml:space="preserve">الإقليم </w:t>
            </w:r>
            <w:r>
              <w:t>3</w:t>
            </w:r>
          </w:p>
        </w:tc>
      </w:tr>
      <w:tr w:rsidR="00475D0D" w:rsidTr="00475D0D">
        <w:trPr>
          <w:cantSplit/>
        </w:trPr>
        <w:tc>
          <w:tcPr>
            <w:tcW w:w="9356" w:type="dxa"/>
            <w:gridSpan w:val="3"/>
          </w:tcPr>
          <w:p w:rsidR="00475D0D" w:rsidRDefault="00364A44" w:rsidP="004872B4">
            <w:pPr>
              <w:pStyle w:val="TabletextS5"/>
              <w:spacing w:line="260" w:lineRule="exact"/>
            </w:pPr>
            <w:r w:rsidRPr="0048256A">
              <w:rPr>
                <w:rStyle w:val="Tablefreq"/>
              </w:rPr>
              <w:t>7</w:t>
            </w:r>
            <w:r w:rsidR="00BA09E5">
              <w:rPr>
                <w:rStyle w:val="Tablefreq"/>
              </w:rPr>
              <w:t> </w:t>
            </w:r>
            <w:r w:rsidRPr="0048256A">
              <w:rPr>
                <w:rStyle w:val="Tablefreq"/>
              </w:rPr>
              <w:t>450-7 300</w:t>
            </w:r>
            <w:r>
              <w:tab/>
            </w:r>
            <w:r>
              <w:rPr>
                <w:b/>
                <w:bCs/>
                <w:rtl/>
              </w:rPr>
              <w:t>ثابتة</w:t>
            </w:r>
          </w:p>
          <w:p w:rsidR="00475D0D" w:rsidRDefault="00364A44" w:rsidP="004872B4">
            <w:pPr>
              <w:pStyle w:val="TabletextS5"/>
              <w:spacing w:line="260" w:lineRule="exact"/>
            </w:pPr>
            <w:r>
              <w:tab/>
            </w:r>
            <w:r>
              <w:rPr>
                <w:b/>
                <w:bCs/>
                <w:rtl/>
              </w:rPr>
              <w:t>ثابتة ساتلية</w:t>
            </w:r>
            <w:r>
              <w:rPr>
                <w:rtl/>
              </w:rPr>
              <w:t xml:space="preserve"> (فضاء-أرض)</w:t>
            </w:r>
          </w:p>
          <w:p w:rsidR="00475D0D" w:rsidRDefault="00364A44" w:rsidP="004872B4">
            <w:pPr>
              <w:pStyle w:val="TabletextS5"/>
              <w:spacing w:line="260" w:lineRule="exact"/>
            </w:pPr>
            <w:r>
              <w:tab/>
            </w:r>
            <w:r>
              <w:rPr>
                <w:b/>
                <w:bCs/>
                <w:rtl/>
              </w:rPr>
              <w:t>متنقلة</w:t>
            </w:r>
            <w:r>
              <w:rPr>
                <w:rtl/>
              </w:rPr>
              <w:t xml:space="preserve"> باستثناء المتنقلة للطيران</w:t>
            </w:r>
          </w:p>
          <w:p w:rsidR="00475D0D" w:rsidRPr="00BA09E5" w:rsidRDefault="00364A44" w:rsidP="004872B4">
            <w:pPr>
              <w:pStyle w:val="TabletextS5"/>
              <w:spacing w:line="260" w:lineRule="exact"/>
              <w:rPr>
                <w:rStyle w:val="Artref"/>
                <w:b w:val="0"/>
                <w:bCs w:val="0"/>
              </w:rPr>
            </w:pPr>
            <w:r>
              <w:tab/>
            </w:r>
            <w:r w:rsidRPr="00BA09E5">
              <w:rPr>
                <w:rStyle w:val="Artref"/>
                <w:b w:val="0"/>
                <w:bCs w:val="0"/>
              </w:rPr>
              <w:t>461.5</w:t>
            </w:r>
          </w:p>
        </w:tc>
      </w:tr>
      <w:tr w:rsidR="00475D0D" w:rsidTr="00475D0D">
        <w:trPr>
          <w:cantSplit/>
        </w:trPr>
        <w:tc>
          <w:tcPr>
            <w:tcW w:w="9356" w:type="dxa"/>
            <w:gridSpan w:val="3"/>
          </w:tcPr>
          <w:p w:rsidR="00475D0D" w:rsidRDefault="00364A44" w:rsidP="004872B4">
            <w:pPr>
              <w:pStyle w:val="TabletextS5"/>
              <w:spacing w:line="260" w:lineRule="exact"/>
            </w:pPr>
            <w:r w:rsidRPr="0048256A">
              <w:rPr>
                <w:rStyle w:val="Tablefreq"/>
              </w:rPr>
              <w:t>7</w:t>
            </w:r>
            <w:r w:rsidR="00BA09E5">
              <w:rPr>
                <w:rStyle w:val="Tablefreq"/>
              </w:rPr>
              <w:t> </w:t>
            </w:r>
            <w:r w:rsidRPr="0048256A">
              <w:rPr>
                <w:rStyle w:val="Tablefreq"/>
              </w:rPr>
              <w:t>550-7 450</w:t>
            </w:r>
            <w:r>
              <w:tab/>
            </w:r>
            <w:r>
              <w:rPr>
                <w:b/>
                <w:bCs/>
                <w:rtl/>
              </w:rPr>
              <w:t>ثابتة</w:t>
            </w:r>
          </w:p>
          <w:p w:rsidR="00475D0D" w:rsidRDefault="00364A44" w:rsidP="004872B4">
            <w:pPr>
              <w:pStyle w:val="TabletextS5"/>
              <w:spacing w:line="260" w:lineRule="exact"/>
            </w:pPr>
            <w:r>
              <w:tab/>
            </w:r>
            <w:r>
              <w:rPr>
                <w:b/>
                <w:bCs/>
                <w:rtl/>
              </w:rPr>
              <w:t>ثابتة ساتلية</w:t>
            </w:r>
            <w:r>
              <w:rPr>
                <w:rtl/>
              </w:rPr>
              <w:t xml:space="preserve"> (فضاء-أرض)</w:t>
            </w:r>
          </w:p>
          <w:p w:rsidR="00475D0D" w:rsidRDefault="00364A44" w:rsidP="004872B4">
            <w:pPr>
              <w:pStyle w:val="TabletextS5"/>
              <w:spacing w:line="260" w:lineRule="exact"/>
            </w:pPr>
            <w:r>
              <w:tab/>
            </w:r>
            <w:r>
              <w:rPr>
                <w:b/>
                <w:bCs/>
                <w:rtl/>
              </w:rPr>
              <w:t>أرصاد جوية ساتلية</w:t>
            </w:r>
            <w:r>
              <w:rPr>
                <w:rtl/>
              </w:rPr>
              <w:t xml:space="preserve"> (فضاء-أرض)</w:t>
            </w:r>
          </w:p>
          <w:p w:rsidR="00475D0D" w:rsidRDefault="00364A44" w:rsidP="004872B4">
            <w:pPr>
              <w:pStyle w:val="TabletextS5"/>
              <w:spacing w:line="260" w:lineRule="exact"/>
            </w:pPr>
            <w:r>
              <w:tab/>
            </w:r>
            <w:r>
              <w:rPr>
                <w:b/>
                <w:bCs/>
                <w:rtl/>
              </w:rPr>
              <w:t>متنقلة</w:t>
            </w:r>
            <w:r>
              <w:rPr>
                <w:rtl/>
              </w:rPr>
              <w:t xml:space="preserve"> باستثناء المتنقلة للطيران</w:t>
            </w:r>
          </w:p>
          <w:p w:rsidR="00475D0D" w:rsidRPr="00BA09E5" w:rsidRDefault="00364A44" w:rsidP="004872B4">
            <w:pPr>
              <w:pStyle w:val="TabletextS5"/>
              <w:spacing w:line="260" w:lineRule="exact"/>
              <w:rPr>
                <w:rStyle w:val="Artref"/>
                <w:b w:val="0"/>
                <w:bCs w:val="0"/>
              </w:rPr>
            </w:pPr>
            <w:r>
              <w:tab/>
            </w:r>
            <w:r w:rsidRPr="00BA09E5">
              <w:rPr>
                <w:rStyle w:val="Artref"/>
                <w:b w:val="0"/>
                <w:bCs w:val="0"/>
              </w:rPr>
              <w:t>461A.5</w:t>
            </w:r>
          </w:p>
        </w:tc>
      </w:tr>
      <w:tr w:rsidR="00475D0D" w:rsidTr="00475D0D">
        <w:trPr>
          <w:cantSplit/>
        </w:trPr>
        <w:tc>
          <w:tcPr>
            <w:tcW w:w="9356" w:type="dxa"/>
            <w:gridSpan w:val="3"/>
          </w:tcPr>
          <w:p w:rsidR="00475D0D" w:rsidRDefault="00364A44" w:rsidP="004872B4">
            <w:pPr>
              <w:pStyle w:val="TabletextS5"/>
              <w:spacing w:line="260" w:lineRule="exact"/>
            </w:pPr>
            <w:r w:rsidRPr="0048256A">
              <w:rPr>
                <w:rStyle w:val="Tablefreq"/>
              </w:rPr>
              <w:t>7</w:t>
            </w:r>
            <w:r w:rsidR="00BA09E5">
              <w:rPr>
                <w:rStyle w:val="Tablefreq"/>
              </w:rPr>
              <w:t> </w:t>
            </w:r>
            <w:r w:rsidRPr="0048256A">
              <w:rPr>
                <w:rStyle w:val="Tablefreq"/>
              </w:rPr>
              <w:t>750-7 550</w:t>
            </w:r>
            <w:r>
              <w:tab/>
            </w:r>
            <w:r>
              <w:rPr>
                <w:b/>
                <w:bCs/>
                <w:rtl/>
              </w:rPr>
              <w:t>ثابتة</w:t>
            </w:r>
          </w:p>
          <w:p w:rsidR="00475D0D" w:rsidRDefault="00364A44" w:rsidP="004872B4">
            <w:pPr>
              <w:pStyle w:val="TabletextS5"/>
              <w:spacing w:line="260" w:lineRule="exact"/>
            </w:pPr>
            <w:r>
              <w:tab/>
            </w:r>
            <w:r>
              <w:rPr>
                <w:b/>
                <w:bCs/>
                <w:rtl/>
              </w:rPr>
              <w:t>ثابتة ساتلية</w:t>
            </w:r>
            <w:r>
              <w:rPr>
                <w:rtl/>
              </w:rPr>
              <w:t xml:space="preserve"> (فضاء-أرض)</w:t>
            </w:r>
          </w:p>
          <w:p w:rsidR="00475D0D" w:rsidRDefault="00364A44" w:rsidP="004872B4">
            <w:pPr>
              <w:pStyle w:val="TabletextS5"/>
              <w:spacing w:line="260" w:lineRule="exact"/>
            </w:pPr>
            <w:r>
              <w:tab/>
            </w:r>
            <w:r>
              <w:rPr>
                <w:b/>
                <w:bCs/>
                <w:rtl/>
              </w:rPr>
              <w:t>متنقلة</w:t>
            </w:r>
            <w:r>
              <w:rPr>
                <w:rtl/>
              </w:rPr>
              <w:t xml:space="preserve"> باستثناء المتنقلة للطيران</w:t>
            </w:r>
          </w:p>
        </w:tc>
      </w:tr>
    </w:tbl>
    <w:p w:rsidR="00190870" w:rsidRDefault="00190870">
      <w:pPr>
        <w:pStyle w:val="Reasons"/>
      </w:pPr>
    </w:p>
    <w:p w:rsidR="00190870" w:rsidRDefault="00364A44">
      <w:pPr>
        <w:pStyle w:val="Proposal"/>
      </w:pPr>
      <w:r>
        <w:rPr>
          <w:u w:val="single"/>
        </w:rPr>
        <w:t>NOC</w:t>
      </w:r>
      <w:r>
        <w:tab/>
        <w:t>ARB/25A9A2/2</w:t>
      </w:r>
    </w:p>
    <w:p w:rsidR="009F37C9" w:rsidRDefault="00364A44">
      <w:pPr>
        <w:pStyle w:val="Tabletitle"/>
        <w:rPr>
          <w:rtl/>
        </w:rPr>
        <w:pPrChange w:id="4" w:author="El Wardany, Samy" w:date="2011-08-01T14:42:00Z">
          <w:pPr/>
        </w:pPrChange>
      </w:pPr>
      <w:r>
        <w:t>MHz</w:t>
      </w:r>
      <w:r w:rsidR="00BA09E5">
        <w:t> </w:t>
      </w:r>
      <w:r>
        <w:t>8</w:t>
      </w:r>
      <w:r w:rsidR="00BA09E5">
        <w:t> </w:t>
      </w:r>
      <w:r>
        <w:t>500-7</w:t>
      </w:r>
      <w:r w:rsidR="00BA09E5">
        <w:t> </w:t>
      </w:r>
      <w:r>
        <w:t>250</w:t>
      </w:r>
    </w:p>
    <w:tbl>
      <w:tblPr>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9"/>
        <w:gridCol w:w="3119"/>
        <w:gridCol w:w="3118"/>
      </w:tblGrid>
      <w:tr w:rsidR="00475D0D" w:rsidTr="00475D0D">
        <w:trPr>
          <w:cantSplit/>
        </w:trPr>
        <w:tc>
          <w:tcPr>
            <w:tcW w:w="9356" w:type="dxa"/>
            <w:gridSpan w:val="3"/>
          </w:tcPr>
          <w:p w:rsidR="00475D0D" w:rsidRDefault="00364A44" w:rsidP="004872B4">
            <w:pPr>
              <w:pStyle w:val="Tablehead"/>
            </w:pPr>
            <w:r>
              <w:rPr>
                <w:rtl/>
              </w:rPr>
              <w:t>التوزيع على الخدمات</w:t>
            </w:r>
          </w:p>
        </w:tc>
      </w:tr>
      <w:tr w:rsidR="00475D0D" w:rsidTr="00475D0D">
        <w:trPr>
          <w:cantSplit/>
        </w:trPr>
        <w:tc>
          <w:tcPr>
            <w:tcW w:w="3119" w:type="dxa"/>
          </w:tcPr>
          <w:p w:rsidR="00475D0D" w:rsidRDefault="00364A44" w:rsidP="004872B4">
            <w:pPr>
              <w:pStyle w:val="Tablehead"/>
            </w:pPr>
            <w:r>
              <w:rPr>
                <w:rtl/>
              </w:rPr>
              <w:t xml:space="preserve">الإقليم </w:t>
            </w:r>
            <w:r>
              <w:t>1</w:t>
            </w:r>
          </w:p>
        </w:tc>
        <w:tc>
          <w:tcPr>
            <w:tcW w:w="3119" w:type="dxa"/>
          </w:tcPr>
          <w:p w:rsidR="00475D0D" w:rsidRDefault="00364A44" w:rsidP="004872B4">
            <w:pPr>
              <w:pStyle w:val="Tablehead"/>
            </w:pPr>
            <w:r>
              <w:rPr>
                <w:rtl/>
              </w:rPr>
              <w:t xml:space="preserve">الإقليم </w:t>
            </w:r>
            <w:r>
              <w:t>2</w:t>
            </w:r>
          </w:p>
        </w:tc>
        <w:tc>
          <w:tcPr>
            <w:tcW w:w="3118" w:type="dxa"/>
          </w:tcPr>
          <w:p w:rsidR="00475D0D" w:rsidRDefault="00364A44" w:rsidP="004872B4">
            <w:pPr>
              <w:pStyle w:val="Tablehead"/>
            </w:pPr>
            <w:r>
              <w:rPr>
                <w:rtl/>
              </w:rPr>
              <w:t xml:space="preserve">الإقليم </w:t>
            </w:r>
            <w:r>
              <w:t>3</w:t>
            </w:r>
          </w:p>
        </w:tc>
      </w:tr>
      <w:tr w:rsidR="00475D0D" w:rsidTr="00475D0D">
        <w:trPr>
          <w:cantSplit/>
        </w:trPr>
        <w:tc>
          <w:tcPr>
            <w:tcW w:w="9356" w:type="dxa"/>
            <w:gridSpan w:val="3"/>
          </w:tcPr>
          <w:p w:rsidR="00475D0D" w:rsidRDefault="00364A44" w:rsidP="004872B4">
            <w:pPr>
              <w:pStyle w:val="TabletextS5"/>
              <w:spacing w:line="260" w:lineRule="exact"/>
            </w:pPr>
            <w:r w:rsidRPr="0048256A">
              <w:rPr>
                <w:rStyle w:val="Tablefreq"/>
              </w:rPr>
              <w:t>8</w:t>
            </w:r>
            <w:r w:rsidR="00BA09E5">
              <w:rPr>
                <w:rStyle w:val="Tablefreq"/>
              </w:rPr>
              <w:t> </w:t>
            </w:r>
            <w:r w:rsidRPr="0048256A">
              <w:rPr>
                <w:rStyle w:val="Tablefreq"/>
              </w:rPr>
              <w:t>175-8 025</w:t>
            </w:r>
            <w:r>
              <w:tab/>
            </w:r>
            <w:r>
              <w:rPr>
                <w:b/>
                <w:bCs/>
                <w:rtl/>
              </w:rPr>
              <w:t>استكشاف الأرض الساتلية</w:t>
            </w:r>
            <w:r>
              <w:rPr>
                <w:rtl/>
              </w:rPr>
              <w:t xml:space="preserve"> (فضاء-أرض)</w:t>
            </w:r>
          </w:p>
          <w:p w:rsidR="00475D0D" w:rsidRDefault="00364A44" w:rsidP="004872B4">
            <w:pPr>
              <w:pStyle w:val="TabletextS5"/>
              <w:spacing w:line="260" w:lineRule="exact"/>
            </w:pPr>
            <w:r>
              <w:tab/>
            </w:r>
            <w:r>
              <w:rPr>
                <w:b/>
                <w:bCs/>
                <w:rtl/>
              </w:rPr>
              <w:t>ثابتة</w:t>
            </w:r>
          </w:p>
          <w:p w:rsidR="00475D0D" w:rsidRDefault="00364A44" w:rsidP="004872B4">
            <w:pPr>
              <w:pStyle w:val="TabletextS5"/>
              <w:spacing w:line="260" w:lineRule="exact"/>
            </w:pPr>
            <w:r>
              <w:tab/>
            </w:r>
            <w:r>
              <w:rPr>
                <w:b/>
                <w:bCs/>
                <w:rtl/>
              </w:rPr>
              <w:t>ثابتة ساتلية</w:t>
            </w:r>
            <w:r>
              <w:rPr>
                <w:rtl/>
              </w:rPr>
              <w:t xml:space="preserve"> (أرض-فضاء)</w:t>
            </w:r>
          </w:p>
          <w:p w:rsidR="00475D0D" w:rsidRDefault="00364A44" w:rsidP="004872B4">
            <w:pPr>
              <w:pStyle w:val="TabletextS5"/>
              <w:spacing w:line="260" w:lineRule="exact"/>
            </w:pPr>
            <w:r>
              <w:tab/>
            </w:r>
            <w:r>
              <w:rPr>
                <w:b/>
                <w:bCs/>
                <w:rtl/>
              </w:rPr>
              <w:t xml:space="preserve">متنقلة </w:t>
            </w:r>
            <w:r w:rsidRPr="00BA09E5">
              <w:rPr>
                <w:rStyle w:val="Artref"/>
                <w:b w:val="0"/>
                <w:bCs w:val="0"/>
              </w:rPr>
              <w:t>463.5</w:t>
            </w:r>
          </w:p>
          <w:p w:rsidR="00475D0D" w:rsidRPr="00BA09E5" w:rsidRDefault="00364A44" w:rsidP="004872B4">
            <w:pPr>
              <w:pStyle w:val="TabletextS5"/>
              <w:spacing w:line="260" w:lineRule="exact"/>
              <w:rPr>
                <w:rStyle w:val="Artref"/>
                <w:b w:val="0"/>
                <w:bCs w:val="0"/>
              </w:rPr>
            </w:pPr>
            <w:r>
              <w:tab/>
            </w:r>
            <w:r w:rsidRPr="00BA09E5">
              <w:rPr>
                <w:rStyle w:val="Artref"/>
                <w:b w:val="0"/>
                <w:bCs w:val="0"/>
              </w:rPr>
              <w:t>462A.5</w:t>
            </w:r>
          </w:p>
        </w:tc>
      </w:tr>
      <w:tr w:rsidR="00475D0D" w:rsidTr="00475D0D">
        <w:trPr>
          <w:cantSplit/>
        </w:trPr>
        <w:tc>
          <w:tcPr>
            <w:tcW w:w="9356" w:type="dxa"/>
            <w:gridSpan w:val="3"/>
          </w:tcPr>
          <w:p w:rsidR="00475D0D" w:rsidRDefault="00364A44" w:rsidP="004872B4">
            <w:pPr>
              <w:pStyle w:val="TabletextS5"/>
              <w:spacing w:line="260" w:lineRule="exact"/>
            </w:pPr>
            <w:r w:rsidRPr="0048256A">
              <w:rPr>
                <w:rStyle w:val="Tablefreq"/>
              </w:rPr>
              <w:t>8</w:t>
            </w:r>
            <w:r w:rsidR="00BA09E5">
              <w:rPr>
                <w:rStyle w:val="Tablefreq"/>
              </w:rPr>
              <w:t> </w:t>
            </w:r>
            <w:r w:rsidRPr="0048256A">
              <w:rPr>
                <w:rStyle w:val="Tablefreq"/>
              </w:rPr>
              <w:t>215-8 175</w:t>
            </w:r>
            <w:r>
              <w:rPr>
                <w:b/>
                <w:bCs/>
              </w:rPr>
              <w:tab/>
            </w:r>
            <w:r>
              <w:rPr>
                <w:b/>
                <w:bCs/>
                <w:rtl/>
              </w:rPr>
              <w:t>استكشاف الأرض الساتلية</w:t>
            </w:r>
            <w:r>
              <w:rPr>
                <w:rtl/>
              </w:rPr>
              <w:t xml:space="preserve"> (فضاء-أرض)</w:t>
            </w:r>
          </w:p>
          <w:p w:rsidR="00475D0D" w:rsidRDefault="00364A44" w:rsidP="004872B4">
            <w:pPr>
              <w:pStyle w:val="TabletextS5"/>
              <w:spacing w:line="260" w:lineRule="exact"/>
            </w:pPr>
            <w:r>
              <w:tab/>
            </w:r>
            <w:r>
              <w:rPr>
                <w:b/>
                <w:bCs/>
                <w:rtl/>
              </w:rPr>
              <w:t>ثابتة</w:t>
            </w:r>
          </w:p>
          <w:p w:rsidR="00475D0D" w:rsidRDefault="00364A44" w:rsidP="004872B4">
            <w:pPr>
              <w:pStyle w:val="TabletextS5"/>
              <w:spacing w:line="260" w:lineRule="exact"/>
            </w:pPr>
            <w:r>
              <w:tab/>
            </w:r>
            <w:r>
              <w:rPr>
                <w:b/>
                <w:bCs/>
                <w:rtl/>
              </w:rPr>
              <w:t>ثابتة ساتلية</w:t>
            </w:r>
            <w:r>
              <w:rPr>
                <w:rtl/>
              </w:rPr>
              <w:t xml:space="preserve"> (أرض-فضاء)</w:t>
            </w:r>
          </w:p>
          <w:p w:rsidR="00475D0D" w:rsidRDefault="00364A44" w:rsidP="004872B4">
            <w:pPr>
              <w:pStyle w:val="TabletextS5"/>
              <w:spacing w:line="260" w:lineRule="exact"/>
            </w:pPr>
            <w:r>
              <w:tab/>
            </w:r>
            <w:r>
              <w:rPr>
                <w:b/>
                <w:bCs/>
                <w:rtl/>
              </w:rPr>
              <w:t>أرصاد جوية ساتلية</w:t>
            </w:r>
            <w:r>
              <w:rPr>
                <w:rtl/>
              </w:rPr>
              <w:t xml:space="preserve"> (أرض-فضاء)</w:t>
            </w:r>
          </w:p>
          <w:p w:rsidR="00475D0D" w:rsidRDefault="00364A44" w:rsidP="004872B4">
            <w:pPr>
              <w:pStyle w:val="TabletextS5"/>
              <w:spacing w:line="260" w:lineRule="exact"/>
            </w:pPr>
            <w:r>
              <w:tab/>
            </w:r>
            <w:r>
              <w:rPr>
                <w:b/>
                <w:bCs/>
                <w:rtl/>
              </w:rPr>
              <w:t xml:space="preserve">متنقلة </w:t>
            </w:r>
            <w:r>
              <w:rPr>
                <w:rFonts w:hint="cs"/>
                <w:b/>
                <w:bCs/>
                <w:rtl/>
              </w:rPr>
              <w:t xml:space="preserve"> </w:t>
            </w:r>
            <w:r w:rsidRPr="00BA09E5">
              <w:rPr>
                <w:rStyle w:val="Artref"/>
                <w:b w:val="0"/>
                <w:bCs w:val="0"/>
              </w:rPr>
              <w:t>463.5</w:t>
            </w:r>
          </w:p>
          <w:p w:rsidR="00475D0D" w:rsidRPr="00BA09E5" w:rsidRDefault="00364A44" w:rsidP="004872B4">
            <w:pPr>
              <w:pStyle w:val="TabletextS5"/>
              <w:spacing w:line="260" w:lineRule="exact"/>
              <w:rPr>
                <w:rStyle w:val="Artref"/>
                <w:b w:val="0"/>
                <w:bCs w:val="0"/>
              </w:rPr>
            </w:pPr>
            <w:r>
              <w:tab/>
            </w:r>
            <w:r w:rsidRPr="00BA09E5">
              <w:rPr>
                <w:rStyle w:val="Artref"/>
                <w:b w:val="0"/>
                <w:bCs w:val="0"/>
              </w:rPr>
              <w:t>462A.5</w:t>
            </w:r>
          </w:p>
        </w:tc>
      </w:tr>
      <w:tr w:rsidR="00475D0D" w:rsidTr="00475D0D">
        <w:trPr>
          <w:cantSplit/>
        </w:trPr>
        <w:tc>
          <w:tcPr>
            <w:tcW w:w="9356" w:type="dxa"/>
            <w:gridSpan w:val="3"/>
          </w:tcPr>
          <w:p w:rsidR="00475D0D" w:rsidRDefault="00364A44" w:rsidP="004872B4">
            <w:pPr>
              <w:pStyle w:val="TabletextS5"/>
              <w:spacing w:line="260" w:lineRule="exact"/>
              <w:rPr>
                <w:b/>
                <w:bCs/>
              </w:rPr>
            </w:pPr>
            <w:r w:rsidRPr="0048256A">
              <w:rPr>
                <w:rStyle w:val="Tablefreq"/>
              </w:rPr>
              <w:t>8</w:t>
            </w:r>
            <w:r w:rsidR="00BA09E5">
              <w:rPr>
                <w:rStyle w:val="Tablefreq"/>
              </w:rPr>
              <w:t> </w:t>
            </w:r>
            <w:r w:rsidRPr="0048256A">
              <w:rPr>
                <w:rStyle w:val="Tablefreq"/>
              </w:rPr>
              <w:t>400-8 215</w:t>
            </w:r>
            <w:r>
              <w:rPr>
                <w:b/>
                <w:bCs/>
              </w:rPr>
              <w:tab/>
            </w:r>
            <w:r>
              <w:rPr>
                <w:b/>
                <w:bCs/>
                <w:rtl/>
              </w:rPr>
              <w:t>استكشاف الأرض الساتلية</w:t>
            </w:r>
            <w:r>
              <w:rPr>
                <w:rtl/>
              </w:rPr>
              <w:t xml:space="preserve"> (فضاء-أرض)</w:t>
            </w:r>
          </w:p>
          <w:p w:rsidR="00475D0D" w:rsidRDefault="00364A44" w:rsidP="004872B4">
            <w:pPr>
              <w:pStyle w:val="TabletextS5"/>
              <w:spacing w:line="260" w:lineRule="exact"/>
              <w:rPr>
                <w:b/>
                <w:bCs/>
              </w:rPr>
            </w:pPr>
            <w:r>
              <w:tab/>
            </w:r>
            <w:r>
              <w:rPr>
                <w:b/>
                <w:bCs/>
                <w:rtl/>
              </w:rPr>
              <w:t>ثابتة</w:t>
            </w:r>
          </w:p>
          <w:p w:rsidR="00475D0D" w:rsidRDefault="00364A44" w:rsidP="004872B4">
            <w:pPr>
              <w:pStyle w:val="TabletextS5"/>
              <w:spacing w:line="260" w:lineRule="exact"/>
            </w:pPr>
            <w:r>
              <w:tab/>
            </w:r>
            <w:r>
              <w:rPr>
                <w:b/>
                <w:bCs/>
                <w:rtl/>
              </w:rPr>
              <w:t>ثابتة ساتلية</w:t>
            </w:r>
            <w:r>
              <w:rPr>
                <w:rtl/>
              </w:rPr>
              <w:t xml:space="preserve"> (أرض-فضاء)</w:t>
            </w:r>
          </w:p>
          <w:p w:rsidR="00475D0D" w:rsidRDefault="00364A44" w:rsidP="004872B4">
            <w:pPr>
              <w:pStyle w:val="TabletextS5"/>
              <w:spacing w:line="260" w:lineRule="exact"/>
            </w:pPr>
            <w:r>
              <w:tab/>
            </w:r>
            <w:r>
              <w:rPr>
                <w:b/>
                <w:bCs/>
                <w:rtl/>
              </w:rPr>
              <w:t>متنقلة</w:t>
            </w:r>
            <w:r>
              <w:rPr>
                <w:rFonts w:hint="cs"/>
                <w:b/>
                <w:bCs/>
                <w:rtl/>
              </w:rPr>
              <w:t xml:space="preserve"> </w:t>
            </w:r>
            <w:r>
              <w:rPr>
                <w:b/>
                <w:bCs/>
                <w:rtl/>
              </w:rPr>
              <w:t xml:space="preserve"> </w:t>
            </w:r>
            <w:r w:rsidRPr="00BA09E5">
              <w:rPr>
                <w:rStyle w:val="Artref"/>
                <w:b w:val="0"/>
                <w:bCs w:val="0"/>
              </w:rPr>
              <w:t>463.5</w:t>
            </w:r>
          </w:p>
          <w:p w:rsidR="00475D0D" w:rsidRPr="00BA09E5" w:rsidRDefault="00364A44" w:rsidP="004872B4">
            <w:pPr>
              <w:pStyle w:val="TabletextS5"/>
              <w:spacing w:line="260" w:lineRule="exact"/>
              <w:rPr>
                <w:rStyle w:val="Artref"/>
                <w:b w:val="0"/>
                <w:bCs w:val="0"/>
              </w:rPr>
            </w:pPr>
            <w:r>
              <w:tab/>
            </w:r>
            <w:r w:rsidRPr="00BA09E5">
              <w:rPr>
                <w:rStyle w:val="Artref"/>
                <w:b w:val="0"/>
                <w:bCs w:val="0"/>
              </w:rPr>
              <w:t>462A.5</w:t>
            </w:r>
          </w:p>
        </w:tc>
      </w:tr>
    </w:tbl>
    <w:p w:rsidR="00190870" w:rsidRDefault="00364A44" w:rsidP="00BA09E5">
      <w:pPr>
        <w:pStyle w:val="Reasons"/>
      </w:pPr>
      <w:r>
        <w:rPr>
          <w:rtl/>
        </w:rPr>
        <w:t>الأسباب:</w:t>
      </w:r>
      <w:r>
        <w:tab/>
      </w:r>
      <w:r w:rsidR="00BA09E5" w:rsidRPr="00BA09E5">
        <w:rPr>
          <w:rFonts w:hint="cs"/>
          <w:b w:val="0"/>
          <w:bCs w:val="0"/>
          <w:rtl/>
          <w:lang w:bidi="ar-OM"/>
        </w:rPr>
        <w:t xml:space="preserve">لتأكيد عدم منح ترددات للخدمة </w:t>
      </w:r>
      <w:r w:rsidR="00BA09E5" w:rsidRPr="00BA09E5">
        <w:rPr>
          <w:b w:val="0"/>
          <w:bCs w:val="0"/>
        </w:rPr>
        <w:t>MMSS</w:t>
      </w:r>
      <w:r w:rsidR="00BA09E5" w:rsidRPr="00BA09E5">
        <w:rPr>
          <w:rFonts w:hint="cs"/>
          <w:b w:val="0"/>
          <w:bCs w:val="0"/>
          <w:rtl/>
          <w:lang w:bidi="ar-OM"/>
        </w:rPr>
        <w:t xml:space="preserve"> في</w:t>
      </w:r>
      <w:r w:rsidR="00BA09E5">
        <w:rPr>
          <w:rFonts w:hint="cs"/>
          <w:b w:val="0"/>
          <w:bCs w:val="0"/>
          <w:rtl/>
          <w:lang w:bidi="ar-OM"/>
        </w:rPr>
        <w:t> </w:t>
      </w:r>
      <w:r w:rsidR="00BA09E5" w:rsidRPr="00BA09E5">
        <w:rPr>
          <w:b w:val="0"/>
          <w:bCs w:val="0"/>
          <w:rtl/>
          <w:lang w:bidi="ar-OM"/>
        </w:rPr>
        <w:t xml:space="preserve">النطاق </w:t>
      </w:r>
      <w:r w:rsidR="00BA09E5" w:rsidRPr="00BA09E5">
        <w:rPr>
          <w:b w:val="0"/>
          <w:bCs w:val="0"/>
        </w:rPr>
        <w:t>MHz</w:t>
      </w:r>
      <w:r w:rsidR="00BA09E5">
        <w:rPr>
          <w:b w:val="0"/>
          <w:bCs w:val="0"/>
        </w:rPr>
        <w:t> </w:t>
      </w:r>
      <w:r w:rsidR="00BA09E5" w:rsidRPr="00BA09E5">
        <w:rPr>
          <w:b w:val="0"/>
          <w:bCs w:val="0"/>
        </w:rPr>
        <w:t>7</w:t>
      </w:r>
      <w:r w:rsidR="00BA09E5">
        <w:rPr>
          <w:b w:val="0"/>
          <w:bCs w:val="0"/>
        </w:rPr>
        <w:t> </w:t>
      </w:r>
      <w:r w:rsidR="00BA09E5" w:rsidRPr="00BA09E5">
        <w:rPr>
          <w:b w:val="0"/>
          <w:bCs w:val="0"/>
        </w:rPr>
        <w:t>750</w:t>
      </w:r>
      <w:r w:rsidR="00BA09E5">
        <w:rPr>
          <w:b w:val="0"/>
          <w:bCs w:val="0"/>
        </w:rPr>
        <w:noBreakHyphen/>
      </w:r>
      <w:r w:rsidR="00BA09E5" w:rsidRPr="00BA09E5">
        <w:rPr>
          <w:b w:val="0"/>
          <w:bCs w:val="0"/>
        </w:rPr>
        <w:t>7</w:t>
      </w:r>
      <w:r w:rsidR="00BA09E5">
        <w:rPr>
          <w:b w:val="0"/>
          <w:bCs w:val="0"/>
        </w:rPr>
        <w:t> </w:t>
      </w:r>
      <w:r w:rsidR="00BA09E5" w:rsidRPr="00BA09E5">
        <w:rPr>
          <w:b w:val="0"/>
          <w:bCs w:val="0"/>
        </w:rPr>
        <w:t>375</w:t>
      </w:r>
      <w:r w:rsidR="00BA09E5" w:rsidRPr="00BA09E5">
        <w:rPr>
          <w:b w:val="0"/>
          <w:bCs w:val="0"/>
          <w:rtl/>
          <w:lang w:bidi="ar-OM"/>
        </w:rPr>
        <w:t xml:space="preserve"> </w:t>
      </w:r>
      <w:r w:rsidR="00BA09E5" w:rsidRPr="00BA09E5">
        <w:rPr>
          <w:rFonts w:hint="cs"/>
          <w:b w:val="0"/>
          <w:bCs w:val="0"/>
          <w:rtl/>
          <w:lang w:bidi="ar-OM"/>
        </w:rPr>
        <w:t>و</w:t>
      </w:r>
      <w:r w:rsidR="00BA09E5" w:rsidRPr="00BA09E5">
        <w:rPr>
          <w:rFonts w:hint="cs"/>
          <w:b w:val="0"/>
          <w:bCs w:val="0"/>
          <w:rtl/>
        </w:rPr>
        <w:t xml:space="preserve">النطاق </w:t>
      </w:r>
      <w:r w:rsidR="00BA09E5" w:rsidRPr="00BA09E5">
        <w:rPr>
          <w:b w:val="0"/>
          <w:bCs w:val="0"/>
        </w:rPr>
        <w:t>MHz 8 400</w:t>
      </w:r>
      <w:r w:rsidR="00BA09E5" w:rsidRPr="00BA09E5">
        <w:rPr>
          <w:b w:val="0"/>
          <w:bCs w:val="0"/>
        </w:rPr>
        <w:noBreakHyphen/>
        <w:t>8 025</w:t>
      </w:r>
      <w:r w:rsidR="00BA09E5" w:rsidRPr="00BA09E5">
        <w:rPr>
          <w:rFonts w:hint="cs"/>
          <w:b w:val="0"/>
          <w:bCs w:val="0"/>
          <w:rtl/>
        </w:rPr>
        <w:t>.</w:t>
      </w:r>
    </w:p>
    <w:p w:rsidR="00190870" w:rsidRDefault="00364A44">
      <w:pPr>
        <w:pStyle w:val="Proposal"/>
      </w:pPr>
      <w:r>
        <w:lastRenderedPageBreak/>
        <w:t>SUP</w:t>
      </w:r>
      <w:r>
        <w:tab/>
        <w:t>ARB/25A9A2/3</w:t>
      </w:r>
    </w:p>
    <w:p w:rsidR="00D053B6" w:rsidRPr="00F555FE" w:rsidRDefault="00364A44" w:rsidP="00BA09E5">
      <w:pPr>
        <w:pStyle w:val="ResNo"/>
        <w:tabs>
          <w:tab w:val="left" w:pos="782"/>
          <w:tab w:val="center" w:pos="4819"/>
        </w:tabs>
        <w:spacing w:line="185" w:lineRule="auto"/>
        <w:rPr>
          <w:rtl/>
        </w:rPr>
      </w:pPr>
      <w:bookmarkStart w:id="5" w:name="_Toc327956783"/>
      <w:r w:rsidRPr="00F555FE">
        <w:rPr>
          <w:rFonts w:hint="cs"/>
          <w:rtl/>
        </w:rPr>
        <w:t>القـرار</w:t>
      </w:r>
      <w:r w:rsidR="00BA09E5">
        <w:rPr>
          <w:rFonts w:hint="eastAsia"/>
          <w:rtl/>
        </w:rPr>
        <w:t> </w:t>
      </w:r>
      <w:r w:rsidRPr="00A21FE4">
        <w:rPr>
          <w:rStyle w:val="href"/>
        </w:rPr>
        <w:t>758</w:t>
      </w:r>
      <w:r w:rsidR="00BA09E5">
        <w:t> </w:t>
      </w:r>
      <w:r w:rsidRPr="00F555FE">
        <w:t>(WRC</w:t>
      </w:r>
      <w:r w:rsidRPr="00F555FE">
        <w:noBreakHyphen/>
        <w:t>12)</w:t>
      </w:r>
      <w:bookmarkEnd w:id="5"/>
    </w:p>
    <w:p w:rsidR="00D053B6" w:rsidRDefault="00364A44" w:rsidP="003F69AB">
      <w:pPr>
        <w:pStyle w:val="Restitle"/>
        <w:spacing w:line="185" w:lineRule="auto"/>
        <w:rPr>
          <w:rtl/>
        </w:rPr>
      </w:pPr>
      <w:bookmarkStart w:id="6" w:name="_Toc327956784"/>
      <w:r>
        <w:rPr>
          <w:rFonts w:hint="cs"/>
          <w:rtl/>
        </w:rPr>
        <w:t xml:space="preserve">التوزيعات للخدمة الثابتة الساتلية </w:t>
      </w:r>
      <w:r w:rsidR="003F69AB">
        <w:rPr>
          <w:rFonts w:hint="cs"/>
          <w:rtl/>
        </w:rPr>
        <w:t>والخدمة المتنقلة البحرية الساتلية</w:t>
      </w:r>
      <w:r>
        <w:rPr>
          <w:rtl/>
        </w:rPr>
        <w:br/>
      </w:r>
      <w:r>
        <w:rPr>
          <w:rFonts w:hint="cs"/>
          <w:rtl/>
        </w:rPr>
        <w:t>في</w:t>
      </w:r>
      <w:r>
        <w:rPr>
          <w:rFonts w:hint="eastAsia"/>
          <w:rtl/>
        </w:rPr>
        <w:t> </w:t>
      </w:r>
      <w:r>
        <w:rPr>
          <w:rFonts w:hint="cs"/>
          <w:rtl/>
        </w:rPr>
        <w:t xml:space="preserve">المدى </w:t>
      </w:r>
      <w:r>
        <w:t>GHz 8/7</w:t>
      </w:r>
      <w:bookmarkEnd w:id="6"/>
    </w:p>
    <w:p w:rsidR="00190870" w:rsidRDefault="00364A44" w:rsidP="00364A44">
      <w:pPr>
        <w:pStyle w:val="Reasons"/>
        <w:rPr>
          <w:b w:val="0"/>
          <w:bCs w:val="0"/>
          <w:rtl/>
          <w:lang w:bidi="ar-OM"/>
        </w:rPr>
      </w:pPr>
      <w:r>
        <w:rPr>
          <w:rtl/>
        </w:rPr>
        <w:t>الأسباب:</w:t>
      </w:r>
      <w:r>
        <w:tab/>
      </w:r>
      <w:r w:rsidRPr="00364A44">
        <w:rPr>
          <w:rFonts w:hint="cs"/>
          <w:b w:val="0"/>
          <w:bCs w:val="0"/>
          <w:rtl/>
          <w:lang w:bidi="ar-OM"/>
        </w:rPr>
        <w:t>لا حاجة لهذا القرار</w:t>
      </w:r>
      <w:r>
        <w:rPr>
          <w:rFonts w:hint="cs"/>
          <w:b w:val="0"/>
          <w:bCs w:val="0"/>
          <w:rtl/>
          <w:lang w:bidi="ar-OM"/>
        </w:rPr>
        <w:t>.</w:t>
      </w:r>
    </w:p>
    <w:p w:rsidR="00632E1D" w:rsidRPr="003F69AB" w:rsidRDefault="00632E1D" w:rsidP="00632E1D">
      <w:pPr>
        <w:pStyle w:val="Reasons"/>
        <w:rPr>
          <w:b w:val="0"/>
          <w:bCs w:val="0"/>
          <w:rtl/>
          <w:lang w:bidi="ar-OM"/>
        </w:rPr>
      </w:pPr>
    </w:p>
    <w:p w:rsidR="00364A44" w:rsidRPr="00364A44" w:rsidRDefault="00364A44" w:rsidP="00364A44">
      <w:pPr>
        <w:spacing w:before="600"/>
        <w:jc w:val="center"/>
        <w:rPr>
          <w:lang w:bidi="ar-OM"/>
        </w:rPr>
      </w:pPr>
      <w:r>
        <w:rPr>
          <w:rFonts w:hint="cs"/>
          <w:rtl/>
          <w:lang w:bidi="ar-OM"/>
        </w:rPr>
        <w:t>___________</w:t>
      </w:r>
    </w:p>
    <w:sectPr w:rsidR="00364A44" w:rsidRPr="00364A44">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64A44">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364A44">
      <w:rPr>
        <w:noProof/>
        <w:lang w:val="es-ES"/>
      </w:rPr>
      <w:t>P:\ARA\ITU-R\CONF-R\CMR15\000\025ADD09ADD02A.docx</w:t>
    </w:r>
    <w:r w:rsidRPr="00CB4300">
      <w:fldChar w:fldCharType="end"/>
    </w:r>
    <w:r w:rsidRPr="00CB4300">
      <w:rPr>
        <w:lang w:val="es-ES"/>
      </w:rPr>
      <w:t xml:space="preserve">  (</w:t>
    </w:r>
    <w:r w:rsidR="00364A44">
      <w:rPr>
        <w:lang w:val="es-ES"/>
      </w:rPr>
      <w:t>386861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41C5A">
      <w:rPr>
        <w:noProof/>
      </w:rPr>
      <w:t>15.10.15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64A44">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364A44">
      <w:rPr>
        <w:noProof/>
        <w:lang w:val="es-ES"/>
      </w:rPr>
      <w:t>P:\ARA\ITU-R\CONF-R\CMR15\000\025ADD09ADD02A.docx</w:t>
    </w:r>
    <w:r>
      <w:fldChar w:fldCharType="end"/>
    </w:r>
    <w:r w:rsidRPr="00CB4300">
      <w:rPr>
        <w:lang w:val="es-ES"/>
      </w:rPr>
      <w:t xml:space="preserve">   (</w:t>
    </w:r>
    <w:r w:rsidR="00364A44">
      <w:rPr>
        <w:lang w:val="es-ES"/>
      </w:rPr>
      <w:t>386861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41C5A">
      <w:rPr>
        <w:noProof/>
      </w:rPr>
      <w:t>15.10.15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C531C">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25(Add.9)(Add.2)-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90870"/>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41C5A"/>
    <w:rsid w:val="00353652"/>
    <w:rsid w:val="003569E1"/>
    <w:rsid w:val="00364A44"/>
    <w:rsid w:val="003815E2"/>
    <w:rsid w:val="00381FAD"/>
    <w:rsid w:val="00382A66"/>
    <w:rsid w:val="00385181"/>
    <w:rsid w:val="003923B1"/>
    <w:rsid w:val="003965FE"/>
    <w:rsid w:val="003A6AB4"/>
    <w:rsid w:val="003B27AD"/>
    <w:rsid w:val="003B4F23"/>
    <w:rsid w:val="003C12F6"/>
    <w:rsid w:val="003C3A13"/>
    <w:rsid w:val="003E02EF"/>
    <w:rsid w:val="003E1608"/>
    <w:rsid w:val="003E1D90"/>
    <w:rsid w:val="003F69AB"/>
    <w:rsid w:val="00400CD4"/>
    <w:rsid w:val="004147B9"/>
    <w:rsid w:val="00422C04"/>
    <w:rsid w:val="00426144"/>
    <w:rsid w:val="00461FA7"/>
    <w:rsid w:val="00470CBD"/>
    <w:rsid w:val="0047407D"/>
    <w:rsid w:val="004872B4"/>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32E1D"/>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C531C"/>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09E5"/>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80A4FC1-9430-4DDC-81F0-8E33F6A1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R15-WRC15-C-0025!A9-A2!MSW-A</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E93056DB-5BE9-4373-A36D-FC77E7E19879}">
  <ds:schemaRef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 ds:uri="32a1a8c5-2265-4ebc-b7a0-2071e2c5c9bb"/>
    <ds:schemaRef ds:uri="http://schemas.microsoft.com/office/infopath/2007/PartnerControls"/>
    <ds:schemaRef ds:uri="http://purl.org/dc/elements/1.1/"/>
    <ds:schemaRef ds:uri="http://schemas.microsoft.com/office/2006/documentManagement/types"/>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AD91A6-D717-4093-A74F-E4E892D8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395</Words>
  <Characters>2212</Characters>
  <Application>Microsoft Office Word</Application>
  <DocSecurity>0</DocSecurity>
  <Lines>53</Lines>
  <Paragraphs>31</Paragraphs>
  <ScaleCrop>false</ScaleCrop>
  <HeadingPairs>
    <vt:vector size="2" baseType="variant">
      <vt:variant>
        <vt:lpstr>Title</vt:lpstr>
      </vt:variant>
      <vt:variant>
        <vt:i4>1</vt:i4>
      </vt:variant>
    </vt:vector>
  </HeadingPairs>
  <TitlesOfParts>
    <vt:vector size="1" baseType="lpstr">
      <vt:lpstr>R15-WRC15-C-0025!A9-A2!MSW-A</vt:lpstr>
    </vt:vector>
  </TitlesOfParts>
  <Manager>General Secretariat - Pool</Manager>
  <Company>International Telecommunication Union (ITU)</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R15-WRC15-C-0025!A9-A2!MSW-A</dc:title>
  <dc:creator>Documents Proposals Manager (DPM)</dc:creator>
  <cp:keywords>DPM_v5.2015.10.14_prod</cp:keywords>
  <cp:lastModifiedBy>Awad, Samy</cp:lastModifiedBy>
  <cp:revision>8</cp:revision>
  <cp:lastPrinted>2011-11-07T13:53:00Z</cp:lastPrinted>
  <dcterms:created xsi:type="dcterms:W3CDTF">2015-10-14T20:36:00Z</dcterms:created>
  <dcterms:modified xsi:type="dcterms:W3CDTF">2015-10-15T21:58:00Z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