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55"/>
        <w:gridCol w:w="3176"/>
      </w:tblGrid>
      <w:tr w:rsidR="0090121B" w:rsidRPr="0002785D" w:rsidTr="00B61893">
        <w:trPr>
          <w:cantSplit/>
        </w:trPr>
        <w:tc>
          <w:tcPr>
            <w:tcW w:w="6855" w:type="dxa"/>
          </w:tcPr>
          <w:p w:rsidR="0090121B" w:rsidRPr="00527169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76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11441695" wp14:editId="7C2308D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B61893">
        <w:trPr>
          <w:cantSplit/>
        </w:trPr>
        <w:tc>
          <w:tcPr>
            <w:tcW w:w="6855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76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B61893">
        <w:trPr>
          <w:cantSplit/>
        </w:trPr>
        <w:tc>
          <w:tcPr>
            <w:tcW w:w="6855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76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B61893">
        <w:trPr>
          <w:cantSplit/>
        </w:trPr>
        <w:tc>
          <w:tcPr>
            <w:tcW w:w="6855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76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5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25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B61893">
        <w:trPr>
          <w:cantSplit/>
        </w:trPr>
        <w:tc>
          <w:tcPr>
            <w:tcW w:w="6855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76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10 de septiembre de 2015</w:t>
            </w:r>
          </w:p>
        </w:tc>
      </w:tr>
      <w:tr w:rsidR="000A5B9A" w:rsidRPr="0002785D" w:rsidTr="00B61893">
        <w:trPr>
          <w:cantSplit/>
        </w:trPr>
        <w:tc>
          <w:tcPr>
            <w:tcW w:w="6855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76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árabe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27169" w:rsidRDefault="000A5B9A" w:rsidP="000A5B9A">
            <w:pPr>
              <w:pStyle w:val="Source"/>
            </w:pPr>
            <w:bookmarkStart w:id="2" w:name="dsource" w:colFirst="0" w:colLast="0"/>
            <w:r w:rsidRPr="00527169">
              <w:t>Propuestas Comunes de los Estados Árabes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27169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527169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27169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833EAD">
            <w:pPr>
              <w:pStyle w:val="Agendaitem"/>
              <w:spacing w:before="120" w:after="120"/>
            </w:pPr>
            <w:bookmarkStart w:id="5" w:name="dtitle3" w:colFirst="0" w:colLast="0"/>
            <w:bookmarkEnd w:id="4"/>
            <w:r w:rsidRPr="00AE658F">
              <w:t>Punto 1.5 del orden del día</w:t>
            </w:r>
          </w:p>
        </w:tc>
      </w:tr>
    </w:tbl>
    <w:bookmarkEnd w:id="5"/>
    <w:p w:rsidR="001C0E40" w:rsidRPr="00005431" w:rsidRDefault="00F15D11" w:rsidP="00005431">
      <w:r w:rsidRPr="00211854">
        <w:t>1.5</w:t>
      </w:r>
      <w:r w:rsidRPr="00211854">
        <w:tab/>
        <w:t xml:space="preserve">considerar la posibilidad de utilizar las bandas de frecuencias atribuidas al servicio fijo por satélite no sujeto a los Apéndices </w:t>
      </w:r>
      <w:r w:rsidRPr="00211854">
        <w:rPr>
          <w:b/>
          <w:bCs/>
        </w:rPr>
        <w:t>30</w:t>
      </w:r>
      <w:r w:rsidRPr="00211854">
        <w:t xml:space="preserve">, </w:t>
      </w:r>
      <w:r w:rsidRPr="00211854">
        <w:rPr>
          <w:b/>
          <w:bCs/>
        </w:rPr>
        <w:t>30A</w:t>
      </w:r>
      <w:r w:rsidRPr="00211854">
        <w:t xml:space="preserve"> y </w:t>
      </w:r>
      <w:r w:rsidRPr="00211854">
        <w:rPr>
          <w:b/>
          <w:bCs/>
        </w:rPr>
        <w:t>30B</w:t>
      </w:r>
      <w:r w:rsidRPr="00211854">
        <w:t xml:space="preserve"> para el control y las comunicaciones sin carga útil de los sistemas de aeronaves no tripuladas (SANT) en los espacios aéreos no segregados, de conformidad con la Resolución </w:t>
      </w:r>
      <w:r w:rsidRPr="00211854">
        <w:rPr>
          <w:b/>
          <w:bCs/>
        </w:rPr>
        <w:t>153 (CMR-12)</w:t>
      </w:r>
      <w:r w:rsidRPr="00211854">
        <w:t>;</w:t>
      </w:r>
    </w:p>
    <w:p w:rsidR="003C6A55" w:rsidRPr="00797F7F" w:rsidRDefault="003C6A55" w:rsidP="00797F7F">
      <w:pPr>
        <w:pStyle w:val="Headingb"/>
      </w:pPr>
      <w:r w:rsidRPr="00797F7F">
        <w:t>Introducción</w:t>
      </w:r>
    </w:p>
    <w:p w:rsidR="003C6A55" w:rsidRPr="00177F91" w:rsidRDefault="003C6A55" w:rsidP="00797F7F">
      <w:pPr>
        <w:rPr>
          <w:color w:val="000000"/>
        </w:rPr>
      </w:pPr>
      <w:r w:rsidRPr="00177F91">
        <w:t>En virtud de la Resolución 153 (CMR-12),</w:t>
      </w:r>
      <w:r>
        <w:t xml:space="preserve"> se invitó al UIT-R a que llevara a cabo los estudios necesarios, a tiempo para la CMR-15, con objeto de presentar recomendaciones técnicas, reglamentarias y operacion</w:t>
      </w:r>
      <w:r w:rsidR="00833EAD">
        <w:t>ales a la Conferencia para que é</w:t>
      </w:r>
      <w:r>
        <w:t>sta adoptara una decisión sobre la utilización del servicio fijo por satélite para los enlaces CNPC relativos al funcionamiento de los</w:t>
      </w:r>
      <w:r w:rsidR="00B7571D" w:rsidRPr="00B7571D">
        <w:t xml:space="preserve"> </w:t>
      </w:r>
      <w:r w:rsidR="00B7571D">
        <w:t>SANT</w:t>
      </w:r>
      <w:r>
        <w:t>.</w:t>
      </w:r>
    </w:p>
    <w:p w:rsidR="003C6A55" w:rsidRDefault="003C6A55" w:rsidP="00797F7F">
      <w:r w:rsidRPr="00B643FE">
        <w:t xml:space="preserve">Los estudios </w:t>
      </w:r>
      <w:r>
        <w:t>del UIT-R en el marco de la Resolución anteriormente mencionada no dieron lugar a ningún acuerdo, habida cuenta de que el entorno de interferencia relativo a</w:t>
      </w:r>
      <w:r w:rsidRPr="00B643FE">
        <w:t xml:space="preserve"> los servicios tradicionales</w:t>
      </w:r>
      <w:r>
        <w:t xml:space="preserve"> </w:t>
      </w:r>
      <w:r w:rsidRPr="00B643FE">
        <w:t>permite a las administraciones determinar qué bandas de frecuencias atribuidas al SFS se pueden utilizar para</w:t>
      </w:r>
      <w:r>
        <w:t xml:space="preserve"> la provisión de</w:t>
      </w:r>
      <w:r w:rsidRPr="00B643FE">
        <w:t xml:space="preserve"> enlaces CNPC SANT.</w:t>
      </w:r>
    </w:p>
    <w:p w:rsidR="00BE60C4" w:rsidRPr="00797F7F" w:rsidRDefault="003C6A55" w:rsidP="00797F7F">
      <w:r>
        <w:t>Por otro lado, la</w:t>
      </w:r>
      <w:r w:rsidR="00F15D11" w:rsidRPr="00F15D11">
        <w:t xml:space="preserve"> </w:t>
      </w:r>
      <w:r w:rsidR="00B7571D" w:rsidRPr="00F15D11">
        <w:t xml:space="preserve">utilización </w:t>
      </w:r>
      <w:r w:rsidR="00B7571D">
        <w:t>de estaciones terrenas del SFS a bordo de la aeronave para los enlaces CNPC SANT modificaría sustancialmente las condiciones de compatibilidad con los servicios tradicionales con respecto a la utilización actual de estaciones terrenas del SFS especiales y habituales en la superficie terrestre. Ell</w:t>
      </w:r>
      <w:r w:rsidR="00BD31A5">
        <w:t xml:space="preserve">o da lugar a que </w:t>
      </w:r>
      <w:r w:rsidR="00F15D11" w:rsidRPr="00F15D11">
        <w:t>las distancias de protección y de coordinación entre esas estaciones y estaciones de los servicios terrenales</w:t>
      </w:r>
      <w:r w:rsidR="00BD31A5">
        <w:t>, por ejemplo,</w:t>
      </w:r>
      <w:r w:rsidR="00F15D11" w:rsidRPr="00F15D11">
        <w:t xml:space="preserve"> pueden multiplicarse varias veces en comparación con los valores actuales</w:t>
      </w:r>
      <w:r w:rsidR="00BD31A5">
        <w:t>, dependiendo</w:t>
      </w:r>
      <w:r w:rsidR="00F15D11" w:rsidRPr="00F15D11">
        <w:t xml:space="preserve"> de la altitud de vuelo de la aeronave no tripulada</w:t>
      </w:r>
      <w:r w:rsidR="00BD31A5">
        <w:t>. En consecuencia, no puede garantizarse la protección de los servicios asignados actualmente ni de los servicios futuros, y los estudios del UIT-T no han contribuido a alcanzar ningún consenso al respecto</w:t>
      </w:r>
      <w:r w:rsidR="00BE60C4" w:rsidRPr="00797F7F">
        <w:t>.</w:t>
      </w:r>
    </w:p>
    <w:p w:rsidR="00BD31A5" w:rsidRPr="00797F7F" w:rsidRDefault="00BD31A5" w:rsidP="00797F7F">
      <w:r w:rsidRPr="00797F7F">
        <w:lastRenderedPageBreak/>
        <w:t>Cabe notar que la Organización de Aviación Civil Internacional (OACI)</w:t>
      </w:r>
      <w:r>
        <w:t xml:space="preserve"> no ha sido capaz de proporcionar las características de rendimiento técnico en términos de disponibilidad, fiabilidad y continuidad para que el UIT-T pueda definir criterios de protección que garanticen el funcionamiento seguro de los </w:t>
      </w:r>
      <w:r w:rsidRPr="00BD31A5">
        <w:t>sistemas de aeronaves no tripuladas</w:t>
      </w:r>
      <w:r>
        <w:t>, en particular la protecci</w:t>
      </w:r>
      <w:r w:rsidR="00B242A0">
        <w:t>ón de</w:t>
      </w:r>
      <w:r>
        <w:t xml:space="preserve"> los enlaces CNPC SANT de los servicios tradicionales, dado que esos enlaces se utilizan en el marco de los servicios de seguridad, de conformidad con las disposiciones del número </w:t>
      </w:r>
      <w:r w:rsidRPr="00833EAD">
        <w:rPr>
          <w:b/>
          <w:bCs/>
        </w:rPr>
        <w:t>4.10</w:t>
      </w:r>
      <w:r>
        <w:t xml:space="preserve"> del RR. Por consiguiente, no está claro el cumplimiento de los requisitos del número </w:t>
      </w:r>
      <w:r w:rsidRPr="00833EAD">
        <w:rPr>
          <w:b/>
          <w:bCs/>
        </w:rPr>
        <w:t>4.10</w:t>
      </w:r>
      <w:r>
        <w:t xml:space="preserve"> del RR. </w:t>
      </w:r>
    </w:p>
    <w:p w:rsidR="00B242A0" w:rsidRPr="00797F7F" w:rsidRDefault="00B242A0" w:rsidP="00797F7F">
      <w:r w:rsidRPr="00797F7F">
        <w:t xml:space="preserve">Habida cuenta de todo lo </w:t>
      </w:r>
      <w:r>
        <w:t xml:space="preserve">que antecede, existen numerosas dificultades en los planos técnico, operacional y reglamentario para la utilización del SFS para los enlaces CNPC SANT. Además, las atribuciones actuales al SMA(R)S, SMAS y SMS pueden cumplir en determinadas circunstancias los requisitos de CNPC de los SANT en las bandas de frecuencia de esos servicios. </w:t>
      </w:r>
    </w:p>
    <w:p w:rsidR="00BE60C4" w:rsidRPr="00797F7F" w:rsidRDefault="00B242A0" w:rsidP="00797F7F">
      <w:pPr>
        <w:pStyle w:val="Headingb"/>
        <w:rPr>
          <w:lang w:eastAsia="en-GB"/>
        </w:rPr>
      </w:pPr>
      <w:r w:rsidRPr="00797F7F">
        <w:rPr>
          <w:lang w:eastAsia="en-GB"/>
        </w:rPr>
        <w:t>Propuestas</w:t>
      </w:r>
    </w:p>
    <w:p w:rsidR="00B242A0" w:rsidRPr="00797F7F" w:rsidRDefault="00B242A0" w:rsidP="00797F7F">
      <w:r w:rsidRPr="00797F7F">
        <w:t xml:space="preserve">Sobre la base de los resultados del UIT-T, las </w:t>
      </w:r>
      <w:r w:rsidR="00833EAD" w:rsidRPr="00B242A0">
        <w:t>Administraciones</w:t>
      </w:r>
      <w:r w:rsidR="00833EAD" w:rsidRPr="00797F7F">
        <w:t xml:space="preserve"> </w:t>
      </w:r>
      <w:r w:rsidRPr="00797F7F">
        <w:t xml:space="preserve">de los Estados </w:t>
      </w:r>
      <w:r>
        <w:t xml:space="preserve">Árabes proponen </w:t>
      </w:r>
      <w:r w:rsidR="00746BE6">
        <w:t>lo siguiente:</w:t>
      </w:r>
    </w:p>
    <w:p w:rsidR="00F008F3" w:rsidRPr="00245062" w:rsidRDefault="00F15D11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F15D11" w:rsidP="00D44B91">
      <w:pPr>
        <w:pStyle w:val="Arttitle"/>
      </w:pPr>
      <w:r w:rsidRPr="00245062">
        <w:t>Atribuciones de frecuencia</w:t>
      </w:r>
    </w:p>
    <w:p w:rsidR="003A6F87" w:rsidRDefault="00F15D11">
      <w:pPr>
        <w:pStyle w:val="Proposal"/>
      </w:pPr>
      <w:r>
        <w:rPr>
          <w:u w:val="single"/>
        </w:rPr>
        <w:t>NOC</w:t>
      </w:r>
      <w:r>
        <w:tab/>
        <w:t>ARB/25A5/1</w:t>
      </w:r>
    </w:p>
    <w:p w:rsidR="00F008F3" w:rsidRPr="00245062" w:rsidRDefault="00F15D11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3A6F87" w:rsidRDefault="00F15D11">
      <w:pPr>
        <w:pStyle w:val="Reasons"/>
      </w:pPr>
      <w:r>
        <w:rPr>
          <w:b/>
        </w:rPr>
        <w:t>Motivos:</w:t>
      </w:r>
      <w:r>
        <w:tab/>
      </w:r>
      <w:r w:rsidR="00B61893" w:rsidRPr="00B61893">
        <w:t>Hay obstáculos técnicos, operativos y reglamentarios considerables que se oponen a la utilización del SFS para los enlaces CNPC SANT. Además, las atribuciones al SMA(R)S, al SMAS y el SMS existentes pueden satisfacer, bajo determinadas condiciones, los requisitos del CNPC SANT en las bandas de frecuencias de estos servicios.</w:t>
      </w:r>
    </w:p>
    <w:p w:rsidR="003A6F87" w:rsidRDefault="00F15D11">
      <w:pPr>
        <w:pStyle w:val="Proposal"/>
      </w:pPr>
      <w:r>
        <w:t>SUP</w:t>
      </w:r>
      <w:r>
        <w:tab/>
        <w:t>ARB/25A5/2</w:t>
      </w:r>
    </w:p>
    <w:p w:rsidR="00043B1E" w:rsidRPr="00D14182" w:rsidRDefault="00F15D11" w:rsidP="00043B1E">
      <w:pPr>
        <w:pStyle w:val="ResNo"/>
      </w:pPr>
      <w:bookmarkStart w:id="6" w:name="_Toc328141307"/>
      <w:r w:rsidRPr="00D14182">
        <w:t xml:space="preserve">RESOLUCIÓN </w:t>
      </w:r>
      <w:r w:rsidRPr="00D14182">
        <w:rPr>
          <w:rStyle w:val="href"/>
        </w:rPr>
        <w:t>153</w:t>
      </w:r>
      <w:r w:rsidRPr="00D14182">
        <w:t xml:space="preserve"> (CMR</w:t>
      </w:r>
      <w:r w:rsidRPr="00D14182">
        <w:noBreakHyphen/>
        <w:t>12)</w:t>
      </w:r>
      <w:bookmarkEnd w:id="6"/>
    </w:p>
    <w:p w:rsidR="00043B1E" w:rsidRPr="00D14182" w:rsidRDefault="00F15D11" w:rsidP="0023244A">
      <w:pPr>
        <w:pStyle w:val="Restitle"/>
      </w:pPr>
      <w:bookmarkStart w:id="7" w:name="_Toc328141308"/>
      <w:r w:rsidRPr="00D14182">
        <w:t>Utilización de las bandas de frecuencias atribuidas al servicio fijo por</w:t>
      </w:r>
      <w:r w:rsidRPr="00D14182">
        <w:br/>
        <w:t xml:space="preserve">satélite no sujeto a </w:t>
      </w:r>
      <w:r w:rsidRPr="0023244A">
        <w:t>los</w:t>
      </w:r>
      <w:r w:rsidRPr="00D14182">
        <w:t xml:space="preserve"> Apéndices 30, 30A y 30B para el control y</w:t>
      </w:r>
      <w:r w:rsidRPr="00D14182">
        <w:br/>
        <w:t>las comunicaciones sin carga útil de los sistemas de aeronaves</w:t>
      </w:r>
      <w:r w:rsidRPr="00D14182">
        <w:br/>
        <w:t>no tripuladas en el espacio aéreo no segregado</w:t>
      </w:r>
      <w:bookmarkEnd w:id="7"/>
    </w:p>
    <w:p w:rsidR="003A6F87" w:rsidRPr="00797F7F" w:rsidRDefault="00F15D11">
      <w:pPr>
        <w:pStyle w:val="Reasons"/>
      </w:pPr>
      <w:r w:rsidRPr="00B242A0">
        <w:rPr>
          <w:b/>
          <w:rPrChange w:id="8" w:author="Roy, Jesus" w:date="2015-09-25T16:14:00Z">
            <w:rPr>
              <w:b/>
              <w:lang w:val="en-US"/>
            </w:rPr>
          </w:rPrChange>
        </w:rPr>
        <w:t>Motivos:</w:t>
      </w:r>
      <w:r w:rsidRPr="00B242A0">
        <w:rPr>
          <w:rPrChange w:id="9" w:author="Roy, Jesus" w:date="2015-09-25T16:14:00Z">
            <w:rPr>
              <w:lang w:val="en-US"/>
            </w:rPr>
          </w:rPrChange>
        </w:rPr>
        <w:tab/>
      </w:r>
      <w:r w:rsidR="00B242A0" w:rsidRPr="00797F7F">
        <w:t>Esta Resolución no es necesaria</w:t>
      </w:r>
      <w:r w:rsidR="00527169" w:rsidRPr="00797F7F">
        <w:t>.</w:t>
      </w:r>
    </w:p>
    <w:p w:rsidR="00527169" w:rsidRPr="00B242A0" w:rsidRDefault="00527169" w:rsidP="0032202E">
      <w:pPr>
        <w:pStyle w:val="Reasons"/>
        <w:rPr>
          <w:rPrChange w:id="10" w:author="Roy, Jesus" w:date="2015-09-25T16:14:00Z">
            <w:rPr>
              <w:lang w:val="en-US"/>
            </w:rPr>
          </w:rPrChange>
        </w:rPr>
      </w:pPr>
      <w:bookmarkStart w:id="11" w:name="_GoBack"/>
      <w:bookmarkEnd w:id="11"/>
    </w:p>
    <w:p w:rsidR="00527169" w:rsidRDefault="00527169">
      <w:pPr>
        <w:jc w:val="center"/>
      </w:pPr>
      <w:r>
        <w:t>______________</w:t>
      </w:r>
    </w:p>
    <w:sectPr w:rsidR="0052716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33EAD" w:rsidRDefault="0077084A" w:rsidP="00F05F9C">
    <w:pPr>
      <w:ind w:right="360"/>
      <w:rPr>
        <w:caps/>
        <w:noProof/>
        <w:sz w:val="16"/>
      </w:rPr>
    </w:pPr>
    <w:r>
      <w:fldChar w:fldCharType="begin"/>
    </w:r>
    <w:r w:rsidRPr="00833EAD">
      <w:instrText xml:space="preserve"> FILENAME \p  \* MERGEFORMAT </w:instrText>
    </w:r>
    <w:r>
      <w:fldChar w:fldCharType="separate"/>
    </w:r>
    <w:r w:rsidR="00551397">
      <w:rPr>
        <w:noProof/>
      </w:rPr>
      <w:t>P:\ESP\ITU-R\CONF-R\CMR15\000\025ADD05S.docx</w:t>
    </w:r>
    <w:r>
      <w:fldChar w:fldCharType="end"/>
    </w:r>
    <w:r w:rsidRPr="00833EAD">
      <w:tab/>
    </w:r>
    <w:r>
      <w:fldChar w:fldCharType="begin"/>
    </w:r>
    <w:r>
      <w:instrText xml:space="preserve"> SAVEDATE \@ DD.MM.YY </w:instrText>
    </w:r>
    <w:r>
      <w:fldChar w:fldCharType="separate"/>
    </w:r>
    <w:r w:rsidR="00551397">
      <w:rPr>
        <w:noProof/>
      </w:rPr>
      <w:t>28.09.15</w:t>
    </w:r>
    <w:r>
      <w:fldChar w:fldCharType="end"/>
    </w:r>
    <w:r w:rsidRPr="00833EAD">
      <w:tab/>
    </w:r>
    <w:r>
      <w:fldChar w:fldCharType="begin"/>
    </w:r>
    <w:r>
      <w:instrText xml:space="preserve"> PRINTDATE \@ DD.MM.YY </w:instrText>
    </w:r>
    <w:r>
      <w:fldChar w:fldCharType="separate"/>
    </w:r>
    <w:r w:rsidR="00551397">
      <w:rPr>
        <w:noProof/>
      </w:rPr>
      <w:t>28.09.15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9C" w:rsidRDefault="00F05F9C">
    <w:pPr>
      <w:pStyle w:val="Footer"/>
    </w:pPr>
    <w:fldSimple w:instr=" FILENAME \p  \* MERGEFORMAT ">
      <w:r w:rsidR="00551397">
        <w:t>P:\ESP\ITU-R\CONF-R\CMR15\000\025ADD05S.docx</w:t>
      </w:r>
    </w:fldSimple>
    <w:r>
      <w:t xml:space="preserve"> (386855)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51397">
      <w:t>28.09.15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51397">
      <w:t>28.09.15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9C" w:rsidRDefault="00F05F9C" w:rsidP="00F05F9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51397">
      <w:t>P:\ESP\ITU-R\CONF-R\CMR15\000\025ADD05S.docx</w:t>
    </w:r>
    <w:r>
      <w:fldChar w:fldCharType="end"/>
    </w:r>
    <w:r>
      <w:t xml:space="preserve"> (386855)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51397">
      <w:t>28.09.15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51397">
      <w:t>28.09.15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139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962C2"/>
    <w:rsid w:val="000A5B9A"/>
    <w:rsid w:val="000E5BF9"/>
    <w:rsid w:val="000F0E6D"/>
    <w:rsid w:val="00121170"/>
    <w:rsid w:val="00123CC5"/>
    <w:rsid w:val="0015142D"/>
    <w:rsid w:val="001616DC"/>
    <w:rsid w:val="00163962"/>
    <w:rsid w:val="00177F91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A6F87"/>
    <w:rsid w:val="003B1E8C"/>
    <w:rsid w:val="003C2508"/>
    <w:rsid w:val="003C6A55"/>
    <w:rsid w:val="003D0AA3"/>
    <w:rsid w:val="00440B3A"/>
    <w:rsid w:val="0045384C"/>
    <w:rsid w:val="00454553"/>
    <w:rsid w:val="004B124A"/>
    <w:rsid w:val="005133B5"/>
    <w:rsid w:val="00527169"/>
    <w:rsid w:val="00532097"/>
    <w:rsid w:val="005513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46BE6"/>
    <w:rsid w:val="00765578"/>
    <w:rsid w:val="0077084A"/>
    <w:rsid w:val="007952C7"/>
    <w:rsid w:val="00797F7F"/>
    <w:rsid w:val="007C0B95"/>
    <w:rsid w:val="007C2317"/>
    <w:rsid w:val="007D330A"/>
    <w:rsid w:val="00833EAD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242A0"/>
    <w:rsid w:val="00B52D55"/>
    <w:rsid w:val="00B61893"/>
    <w:rsid w:val="00B643FE"/>
    <w:rsid w:val="00B7571D"/>
    <w:rsid w:val="00B8288C"/>
    <w:rsid w:val="00BD31A5"/>
    <w:rsid w:val="00BE2E80"/>
    <w:rsid w:val="00BE5EDD"/>
    <w:rsid w:val="00BE60C4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05F9C"/>
    <w:rsid w:val="00F15D11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D3D32C-12F5-43BF-B7C1-AA2C77C5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paragraph" w:styleId="BalloonText">
    <w:name w:val="Balloon Text"/>
    <w:basedOn w:val="Normal"/>
    <w:link w:val="BalloonTextChar"/>
    <w:semiHidden/>
    <w:unhideWhenUsed/>
    <w:rsid w:val="000962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62C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R15-WRC15-C-0025!A5!MSW-S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C738913-C031-4A83-8BEE-2C7B7384FE10}">
  <ds:schemaRefs>
    <ds:schemaRef ds:uri="http://schemas.microsoft.com/office/2006/metadata/properties"/>
    <ds:schemaRef ds:uri="http://purl.org/dc/elements/1.1/"/>
    <ds:schemaRef ds:uri="32a1a8c5-2265-4ebc-b7a0-2071e2c5c9bb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B397E7-8E60-400D-A94B-F38588C2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640</Words>
  <Characters>3529</Characters>
  <Application>Microsoft Office Word</Application>
  <DocSecurity>0</DocSecurity>
  <Lines>75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R15-WRC15-C-0025!A5!MSW-S</vt:lpstr>
    </vt:vector>
  </TitlesOfParts>
  <Manager>Secretaría General - Pool</Manager>
  <Company>Unión Internacional de Telecomunicaciones (UIT)</Company>
  <LinksUpToDate>false</LinksUpToDate>
  <CharactersWithSpaces>4145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R15-WRC15-C-0025!A5!MSW-S</dc:title>
  <dc:subject>Conferencia Mundial de Radiocomunicaciones - 2015</dc:subject>
  <dc:creator>Documents Proposals Manager (DPM)</dc:creator>
  <cp:keywords>DPM_v5.2015.9.16_prod</cp:keywords>
  <cp:lastModifiedBy>Garcia Prieto, M. Esperanza</cp:lastModifiedBy>
  <cp:revision>5</cp:revision>
  <cp:lastPrinted>2015-09-28T12:47:00Z</cp:lastPrinted>
  <dcterms:created xsi:type="dcterms:W3CDTF">2015-09-28T12:37:00Z</dcterms:created>
  <dcterms:modified xsi:type="dcterms:W3CDTF">2015-09-28T12:47:00Z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