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540855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Start w:id="2" w:name="_GoBack"/>
            <w:bookmarkEnd w:id="0"/>
            <w:bookmarkEnd w:id="2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540855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3" w:name="ditulogo"/>
            <w:bookmarkEnd w:id="3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540855">
            <w:pPr>
              <w:spacing w:after="48"/>
              <w:rPr>
                <w:b/>
                <w:smallCaps/>
                <w:szCs w:val="24"/>
              </w:rPr>
            </w:pPr>
            <w:bookmarkStart w:id="4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540855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540855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540855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540855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540855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25 (Add.5)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4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540855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540855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54085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540855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原文：阿拉伯文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54085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540855">
            <w:pPr>
              <w:pStyle w:val="Source"/>
            </w:pPr>
            <w:bookmarkStart w:id="5" w:name="dsource" w:colFirst="0" w:colLast="0"/>
            <w:r w:rsidRPr="000273B7">
              <w:t>阿拉伯国家共同提案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18170C" w:rsidP="00540855">
            <w:pPr>
              <w:pStyle w:val="Title1"/>
            </w:pPr>
            <w:bookmarkStart w:id="6" w:name="dtitle1" w:colFirst="0" w:colLast="0"/>
            <w:bookmarkEnd w:id="5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540855">
            <w:pPr>
              <w:pStyle w:val="Title2"/>
            </w:pPr>
            <w:bookmarkStart w:id="7" w:name="dtitle2" w:colFirst="0" w:colLast="0"/>
            <w:bookmarkEnd w:id="6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540855">
            <w:pPr>
              <w:pStyle w:val="Agendaitem"/>
            </w:pPr>
            <w:bookmarkStart w:id="8" w:name="dtitle3" w:colFirst="0" w:colLast="0"/>
            <w:bookmarkEnd w:id="7"/>
            <w:r w:rsidRPr="000273B7">
              <w:t>议项</w:t>
            </w:r>
            <w:r w:rsidRPr="000273B7">
              <w:t>1.5</w:t>
            </w:r>
          </w:p>
        </w:tc>
      </w:tr>
    </w:tbl>
    <w:bookmarkEnd w:id="8"/>
    <w:p w:rsidR="008B60D0" w:rsidRPr="00111152" w:rsidRDefault="00A453D1" w:rsidP="00540855">
      <w:pPr>
        <w:pStyle w:val="Normalaftertitle0"/>
        <w:rPr>
          <w:lang w:eastAsia="zh-CN"/>
        </w:rPr>
      </w:pPr>
      <w:r w:rsidRPr="009C33AA">
        <w:rPr>
          <w:lang w:eastAsia="zh-CN"/>
        </w:rPr>
        <w:t>1.5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153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，考虑将划分给无须遵守附录</w:t>
      </w:r>
      <w:r w:rsidRPr="009C33AA">
        <w:rPr>
          <w:b/>
          <w:bCs/>
          <w:lang w:eastAsia="zh-CN"/>
        </w:rPr>
        <w:t>30</w:t>
      </w:r>
      <w:r w:rsidRPr="009C33AA">
        <w:rPr>
          <w:rFonts w:hint="eastAsia"/>
          <w:lang w:eastAsia="zh-CN"/>
        </w:rPr>
        <w:t>、</w:t>
      </w:r>
      <w:r w:rsidRPr="009C33AA">
        <w:rPr>
          <w:b/>
          <w:bCs/>
          <w:lang w:eastAsia="zh-CN"/>
        </w:rPr>
        <w:t>30A</w:t>
      </w:r>
      <w:r w:rsidRPr="009C33AA">
        <w:rPr>
          <w:rFonts w:hint="eastAsia"/>
          <w:lang w:eastAsia="zh-CN"/>
        </w:rPr>
        <w:t>和</w:t>
      </w:r>
      <w:r w:rsidRPr="009C33AA">
        <w:rPr>
          <w:b/>
          <w:bCs/>
          <w:lang w:eastAsia="zh-CN"/>
        </w:rPr>
        <w:t>30B</w:t>
      </w:r>
      <w:r w:rsidRPr="009C33AA">
        <w:rPr>
          <w:rFonts w:hint="eastAsia"/>
          <w:lang w:eastAsia="zh-CN"/>
        </w:rPr>
        <w:t>规定的卫星固定业务的频段用于非隔离空域无人机系统（</w:t>
      </w:r>
      <w:r w:rsidRPr="009C33AA">
        <w:rPr>
          <w:lang w:eastAsia="zh-CN"/>
        </w:rPr>
        <w:t>UAS</w:t>
      </w:r>
      <w:r w:rsidRPr="009C33AA">
        <w:rPr>
          <w:rFonts w:hint="eastAsia"/>
          <w:lang w:eastAsia="zh-CN"/>
        </w:rPr>
        <w:t>）的控制和非有效载荷通信</w:t>
      </w:r>
      <w:r w:rsidRPr="009C33AA">
        <w:rPr>
          <w:rFonts w:hint="eastAsia"/>
          <w:lang w:val="es-ES_tradnl" w:eastAsia="zh-CN"/>
        </w:rPr>
        <w:t>；</w:t>
      </w:r>
    </w:p>
    <w:p w:rsidR="00A453D1" w:rsidRPr="00EE225B" w:rsidRDefault="00A453D1" w:rsidP="00540855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A453D1" w:rsidRDefault="0018170C" w:rsidP="00D714B3">
      <w:pPr>
        <w:ind w:firstLineChars="200" w:firstLine="480"/>
        <w:rPr>
          <w:color w:val="000000"/>
          <w:lang w:eastAsia="zh-CN"/>
        </w:rPr>
      </w:pPr>
      <w:r>
        <w:rPr>
          <w:rFonts w:hint="eastAsia"/>
          <w:lang w:eastAsia="zh-CN"/>
        </w:rPr>
        <w:t>第</w:t>
      </w:r>
      <w:r w:rsidR="00A453D1">
        <w:rPr>
          <w:lang w:eastAsia="zh-CN"/>
        </w:rPr>
        <w:t>153</w:t>
      </w:r>
      <w:r>
        <w:rPr>
          <w:rFonts w:hint="eastAsia"/>
          <w:lang w:eastAsia="zh-CN"/>
        </w:rPr>
        <w:t>号决议（</w:t>
      </w:r>
      <w:r>
        <w:rPr>
          <w:lang w:eastAsia="zh-CN"/>
        </w:rPr>
        <w:t>WRC-12</w:t>
      </w:r>
      <w:r>
        <w:rPr>
          <w:rFonts w:hint="eastAsia"/>
          <w:lang w:eastAsia="zh-CN"/>
        </w:rPr>
        <w:t>）</w:t>
      </w:r>
      <w:r>
        <w:rPr>
          <w:color w:val="000000"/>
          <w:lang w:eastAsia="zh-CN"/>
        </w:rPr>
        <w:t>请</w:t>
      </w:r>
      <w:r w:rsidR="00286649">
        <w:rPr>
          <w:color w:val="000000"/>
          <w:lang w:eastAsia="zh-CN"/>
        </w:rPr>
        <w:t>ITU-R</w:t>
      </w:r>
      <w:r>
        <w:rPr>
          <w:color w:val="000000"/>
          <w:lang w:eastAsia="zh-CN"/>
        </w:rPr>
        <w:t>及时为</w:t>
      </w:r>
      <w:r>
        <w:rPr>
          <w:color w:val="000000"/>
          <w:lang w:eastAsia="zh-CN"/>
        </w:rPr>
        <w:t>WRC-15</w:t>
      </w:r>
      <w:r>
        <w:rPr>
          <w:color w:val="000000"/>
          <w:lang w:eastAsia="zh-CN"/>
        </w:rPr>
        <w:t>开展必要研究，以向大会提出技术、规则和操作方面的建议，从而使该届大会就将</w:t>
      </w:r>
      <w:r>
        <w:rPr>
          <w:rFonts w:hint="eastAsia"/>
          <w:color w:val="000000"/>
          <w:lang w:eastAsia="zh-CN"/>
        </w:rPr>
        <w:t>现有的卫星固定业务</w:t>
      </w:r>
      <w:r>
        <w:rPr>
          <w:color w:val="000000"/>
          <w:lang w:eastAsia="zh-CN"/>
        </w:rPr>
        <w:t>用于</w:t>
      </w:r>
      <w:r>
        <w:rPr>
          <w:color w:val="000000"/>
          <w:lang w:eastAsia="zh-CN"/>
        </w:rPr>
        <w:t>UAS</w:t>
      </w:r>
      <w:r>
        <w:rPr>
          <w:color w:val="000000"/>
          <w:lang w:eastAsia="zh-CN"/>
        </w:rPr>
        <w:t>操作的</w:t>
      </w:r>
      <w:r>
        <w:rPr>
          <w:color w:val="000000"/>
          <w:lang w:eastAsia="zh-CN"/>
        </w:rPr>
        <w:t>CNPC</w:t>
      </w:r>
      <w:r>
        <w:rPr>
          <w:color w:val="000000"/>
          <w:lang w:eastAsia="zh-CN"/>
        </w:rPr>
        <w:t>链路做出决</w:t>
      </w:r>
      <w:r w:rsidRPr="0018170C">
        <w:rPr>
          <w:rFonts w:hint="eastAsia"/>
          <w:color w:val="000000"/>
          <w:lang w:eastAsia="zh-CN"/>
        </w:rPr>
        <w:t>定</w:t>
      </w:r>
      <w:r>
        <w:rPr>
          <w:rFonts w:hint="eastAsia"/>
          <w:color w:val="000000"/>
          <w:lang w:eastAsia="zh-CN"/>
        </w:rPr>
        <w:t>。</w:t>
      </w:r>
    </w:p>
    <w:p w:rsidR="00A453D1" w:rsidRDefault="0018170C" w:rsidP="00D714B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根据上述决议开展的</w:t>
      </w:r>
      <w:r w:rsidR="00A453D1">
        <w:rPr>
          <w:lang w:eastAsia="zh-CN"/>
        </w:rPr>
        <w:t>ITU-R</w:t>
      </w:r>
      <w:r>
        <w:rPr>
          <w:rFonts w:hint="eastAsia"/>
          <w:lang w:eastAsia="zh-CN"/>
        </w:rPr>
        <w:t>研究未能就</w:t>
      </w:r>
      <w:r>
        <w:rPr>
          <w:color w:val="000000"/>
          <w:lang w:eastAsia="zh-CN"/>
        </w:rPr>
        <w:t>研究</w:t>
      </w:r>
      <w:r>
        <w:rPr>
          <w:rFonts w:hint="eastAsia"/>
          <w:color w:val="000000"/>
          <w:lang w:eastAsia="zh-CN"/>
        </w:rPr>
        <w:t>结果</w:t>
      </w:r>
      <w:r w:rsidR="0015047F">
        <w:rPr>
          <w:rFonts w:hint="eastAsia"/>
          <w:color w:val="000000"/>
          <w:lang w:eastAsia="zh-CN"/>
        </w:rPr>
        <w:t>，即</w:t>
      </w:r>
      <w:r>
        <w:rPr>
          <w:color w:val="000000"/>
          <w:lang w:eastAsia="zh-CN"/>
        </w:rPr>
        <w:t>对于现有业务的干扰环境可使主管部门确定划分给</w:t>
      </w:r>
      <w:r>
        <w:rPr>
          <w:color w:val="000000"/>
          <w:lang w:eastAsia="zh-CN"/>
        </w:rPr>
        <w:t>FSS</w:t>
      </w:r>
      <w:r>
        <w:rPr>
          <w:color w:val="000000"/>
          <w:lang w:eastAsia="zh-CN"/>
        </w:rPr>
        <w:t>的频段是否可用于提供</w:t>
      </w:r>
      <w:r>
        <w:rPr>
          <w:color w:val="000000"/>
          <w:lang w:eastAsia="zh-CN"/>
        </w:rPr>
        <w:t>UAS CNPC</w:t>
      </w:r>
      <w:r>
        <w:rPr>
          <w:color w:val="000000"/>
          <w:lang w:eastAsia="zh-CN"/>
        </w:rPr>
        <w:t>链路</w:t>
      </w:r>
      <w:r w:rsidR="0015047F">
        <w:rPr>
          <w:color w:val="000000"/>
          <w:lang w:eastAsia="zh-CN"/>
        </w:rPr>
        <w:t>达成一致</w:t>
      </w:r>
      <w:r>
        <w:rPr>
          <w:rFonts w:ascii="SimSun" w:hAnsi="SimSun" w:cs="SimSun" w:hint="eastAsia"/>
          <w:color w:val="000000"/>
          <w:lang w:eastAsia="zh-CN"/>
        </w:rPr>
        <w:t>。</w:t>
      </w:r>
    </w:p>
    <w:p w:rsidR="00A453D1" w:rsidRDefault="0015047F" w:rsidP="00D714B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此外，</w:t>
      </w:r>
      <w:r w:rsidR="00266010">
        <w:rPr>
          <w:rFonts w:hint="eastAsia"/>
          <w:lang w:eastAsia="zh-CN"/>
        </w:rPr>
        <w:t>与目前在地表使用特殊和典型</w:t>
      </w:r>
      <w:r w:rsidR="00266010">
        <w:rPr>
          <w:rFonts w:hint="eastAsia"/>
          <w:lang w:eastAsia="zh-CN"/>
        </w:rPr>
        <w:t>FSS</w:t>
      </w:r>
      <w:r w:rsidR="00266010">
        <w:rPr>
          <w:rFonts w:hint="eastAsia"/>
          <w:lang w:eastAsia="zh-CN"/>
        </w:rPr>
        <w:t>地球站相比，</w:t>
      </w:r>
      <w:r>
        <w:rPr>
          <w:color w:val="000000"/>
          <w:lang w:eastAsia="zh-CN"/>
        </w:rPr>
        <w:t>在</w:t>
      </w:r>
      <w:r w:rsidR="00266010">
        <w:rPr>
          <w:rFonts w:hint="eastAsia"/>
          <w:color w:val="000000"/>
          <w:lang w:eastAsia="zh-CN"/>
        </w:rPr>
        <w:t>飞机上将</w:t>
      </w:r>
      <w:r>
        <w:rPr>
          <w:color w:val="000000"/>
          <w:lang w:eastAsia="zh-CN"/>
        </w:rPr>
        <w:t>FSS</w:t>
      </w:r>
      <w:r w:rsidR="00266010">
        <w:rPr>
          <w:rFonts w:hint="eastAsia"/>
          <w:color w:val="000000"/>
          <w:lang w:eastAsia="zh-CN"/>
        </w:rPr>
        <w:t>地球站用于</w:t>
      </w:r>
      <w:r>
        <w:rPr>
          <w:color w:val="000000"/>
          <w:lang w:eastAsia="zh-CN"/>
        </w:rPr>
        <w:t>UA</w:t>
      </w:r>
      <w:r w:rsidR="00540855">
        <w:rPr>
          <w:color w:val="000000"/>
          <w:lang w:eastAsia="zh-CN"/>
        </w:rPr>
        <w:t>S</w:t>
      </w:r>
      <w:r>
        <w:rPr>
          <w:color w:val="000000"/>
          <w:lang w:eastAsia="zh-CN"/>
        </w:rPr>
        <w:t xml:space="preserve"> CNPC</w:t>
      </w:r>
      <w:r>
        <w:rPr>
          <w:color w:val="000000"/>
          <w:lang w:eastAsia="zh-CN"/>
        </w:rPr>
        <w:t>链路将</w:t>
      </w:r>
      <w:r w:rsidR="00266010">
        <w:rPr>
          <w:rFonts w:hint="eastAsia"/>
          <w:color w:val="000000"/>
          <w:lang w:eastAsia="zh-CN"/>
        </w:rPr>
        <w:t>大大改变与现有业务实现兼容的条件，</w:t>
      </w:r>
      <w:r w:rsidR="00266010">
        <w:rPr>
          <w:color w:val="000000"/>
          <w:lang w:eastAsia="zh-CN"/>
        </w:rPr>
        <w:t>取决于无人机飞行高度</w:t>
      </w:r>
      <w:r w:rsidR="00266010">
        <w:rPr>
          <w:rFonts w:hint="eastAsia"/>
          <w:color w:val="000000"/>
          <w:lang w:eastAsia="zh-CN"/>
        </w:rPr>
        <w:t>的不同，这将</w:t>
      </w:r>
      <w:r>
        <w:rPr>
          <w:color w:val="000000"/>
          <w:lang w:eastAsia="zh-CN"/>
        </w:rPr>
        <w:t>导致这些</w:t>
      </w:r>
      <w:r w:rsidR="00266010">
        <w:rPr>
          <w:rFonts w:hint="eastAsia"/>
          <w:color w:val="000000"/>
          <w:lang w:eastAsia="zh-CN"/>
        </w:rPr>
        <w:t>台站</w:t>
      </w:r>
      <w:r>
        <w:rPr>
          <w:color w:val="000000"/>
          <w:lang w:eastAsia="zh-CN"/>
        </w:rPr>
        <w:t>和地面业务</w:t>
      </w:r>
      <w:r w:rsidR="00266010">
        <w:rPr>
          <w:rFonts w:hint="eastAsia"/>
          <w:color w:val="000000"/>
          <w:lang w:eastAsia="zh-CN"/>
        </w:rPr>
        <w:t>台站</w:t>
      </w:r>
      <w:r>
        <w:rPr>
          <w:color w:val="000000"/>
          <w:lang w:eastAsia="zh-CN"/>
        </w:rPr>
        <w:t>之间的</w:t>
      </w:r>
      <w:r w:rsidR="00266010">
        <w:rPr>
          <w:rFonts w:hint="eastAsia"/>
          <w:color w:val="000000"/>
          <w:lang w:eastAsia="zh-CN"/>
        </w:rPr>
        <w:t>保护和</w:t>
      </w:r>
      <w:r>
        <w:rPr>
          <w:color w:val="000000"/>
          <w:lang w:eastAsia="zh-CN"/>
        </w:rPr>
        <w:t>协调距离比目前的值增加数倍。</w:t>
      </w:r>
      <w:r w:rsidR="00540855">
        <w:rPr>
          <w:rFonts w:hint="eastAsia"/>
          <w:color w:val="000000"/>
          <w:lang w:eastAsia="zh-CN"/>
        </w:rPr>
        <w:t>相应</w:t>
      </w:r>
      <w:r w:rsidR="00540855">
        <w:rPr>
          <w:color w:val="000000"/>
          <w:lang w:eastAsia="zh-CN"/>
        </w:rPr>
        <w:t>地</w:t>
      </w:r>
      <w:r w:rsidR="00266010">
        <w:rPr>
          <w:rFonts w:hint="eastAsia"/>
          <w:color w:val="000000"/>
          <w:lang w:eastAsia="zh-CN"/>
        </w:rPr>
        <w:t>，不能保证对已划分的现有和未来业务的保护，且</w:t>
      </w:r>
      <w:r w:rsidR="00A453D1">
        <w:rPr>
          <w:lang w:eastAsia="zh-CN"/>
        </w:rPr>
        <w:t>ITU-R</w:t>
      </w:r>
      <w:r w:rsidR="00266010">
        <w:rPr>
          <w:rFonts w:hint="eastAsia"/>
          <w:lang w:eastAsia="zh-CN"/>
        </w:rPr>
        <w:t>研究未能就此达成一致。</w:t>
      </w:r>
    </w:p>
    <w:p w:rsidR="00A453D1" w:rsidRDefault="00266010" w:rsidP="00D714B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应指出，国际民航组织（</w:t>
      </w:r>
      <w:r>
        <w:rPr>
          <w:rFonts w:hint="eastAsia"/>
          <w:lang w:eastAsia="zh-CN"/>
        </w:rPr>
        <w:t>ICAO</w:t>
      </w:r>
      <w:r>
        <w:rPr>
          <w:rFonts w:hint="eastAsia"/>
          <w:lang w:eastAsia="zh-CN"/>
        </w:rPr>
        <w:t>）未能提供可用度、可靠性和持续性等技术性能特性，以便</w:t>
      </w:r>
      <w:r w:rsidR="00A453D1">
        <w:rPr>
          <w:lang w:eastAsia="zh-CN"/>
        </w:rPr>
        <w:t>ITU-R</w:t>
      </w:r>
      <w:r>
        <w:rPr>
          <w:rFonts w:hint="eastAsia"/>
          <w:lang w:eastAsia="zh-CN"/>
        </w:rPr>
        <w:t>可得出确保无人机系统安全操作，特别是保护</w:t>
      </w:r>
      <w:r>
        <w:rPr>
          <w:lang w:eastAsia="zh-CN"/>
        </w:rPr>
        <w:t>UAS CNPC</w:t>
      </w:r>
      <w:r>
        <w:rPr>
          <w:rFonts w:hint="eastAsia"/>
          <w:lang w:eastAsia="zh-CN"/>
        </w:rPr>
        <w:t>链路不受现有业务影响的保护标准。根据《无线电规则》第</w:t>
      </w:r>
      <w:r w:rsidRPr="00FC1312">
        <w:rPr>
          <w:b/>
          <w:lang w:eastAsia="zh-CN"/>
        </w:rPr>
        <w:t>4.10</w:t>
      </w:r>
      <w:r>
        <w:rPr>
          <w:rFonts w:hint="eastAsia"/>
          <w:lang w:eastAsia="zh-CN"/>
        </w:rPr>
        <w:t>款，这些链路的使用属于安全业务的框架范围。因此，</w:t>
      </w:r>
      <w:r w:rsidR="005E5AC1">
        <w:rPr>
          <w:rFonts w:hint="eastAsia"/>
          <w:lang w:eastAsia="zh-CN"/>
        </w:rPr>
        <w:t>是否满足《无线电规则》第</w:t>
      </w:r>
      <w:r w:rsidR="005E5AC1" w:rsidRPr="00FC1312">
        <w:rPr>
          <w:b/>
          <w:lang w:eastAsia="zh-CN"/>
        </w:rPr>
        <w:t>4.10</w:t>
      </w:r>
      <w:r w:rsidR="005E5AC1">
        <w:rPr>
          <w:rFonts w:hint="eastAsia"/>
          <w:lang w:eastAsia="zh-CN"/>
        </w:rPr>
        <w:t>款的要求并不明确。</w:t>
      </w:r>
    </w:p>
    <w:p w:rsidR="00A453D1" w:rsidRPr="00EE225B" w:rsidRDefault="005E5AC1" w:rsidP="00D714B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据上所述，将</w:t>
      </w:r>
      <w:r>
        <w:rPr>
          <w:rFonts w:hint="eastAsia"/>
          <w:lang w:eastAsia="zh-CN"/>
        </w:rPr>
        <w:t>FSS</w:t>
      </w:r>
      <w:r>
        <w:rPr>
          <w:rFonts w:hint="eastAsia"/>
          <w:lang w:eastAsia="zh-CN"/>
        </w:rPr>
        <w:t>用于</w:t>
      </w:r>
      <w:r w:rsidRPr="00EE225B">
        <w:rPr>
          <w:lang w:eastAsia="zh-CN"/>
        </w:rPr>
        <w:t>UAS</w:t>
      </w:r>
      <w:r>
        <w:rPr>
          <w:lang w:eastAsia="zh-CN"/>
        </w:rPr>
        <w:t xml:space="preserve"> CNPC</w:t>
      </w:r>
      <w:r>
        <w:rPr>
          <w:rFonts w:hint="eastAsia"/>
          <w:lang w:eastAsia="zh-CN"/>
        </w:rPr>
        <w:t>链路存在很大的技术、操作和规则障碍。而且，在某些情况下，目前的</w:t>
      </w:r>
      <w:r w:rsidR="00A453D1">
        <w:rPr>
          <w:lang w:eastAsia="zh-CN"/>
        </w:rPr>
        <w:t>AMS(R)S</w:t>
      </w:r>
      <w:r>
        <w:rPr>
          <w:rFonts w:hint="eastAsia"/>
          <w:lang w:eastAsia="zh-CN"/>
        </w:rPr>
        <w:t>、</w:t>
      </w:r>
      <w:r w:rsidR="00A453D1">
        <w:rPr>
          <w:lang w:eastAsia="zh-CN"/>
        </w:rPr>
        <w:t>AMSS</w:t>
      </w:r>
      <w:r>
        <w:rPr>
          <w:rFonts w:hint="eastAsia"/>
          <w:lang w:eastAsia="zh-CN"/>
        </w:rPr>
        <w:t>和</w:t>
      </w:r>
      <w:r w:rsidR="00A453D1">
        <w:rPr>
          <w:lang w:eastAsia="zh-CN"/>
        </w:rPr>
        <w:t>MSS</w:t>
      </w:r>
      <w:r>
        <w:rPr>
          <w:rFonts w:hint="eastAsia"/>
          <w:lang w:eastAsia="zh-CN"/>
        </w:rPr>
        <w:t>划分可在这些业务所在的频段内满足</w:t>
      </w:r>
      <w:r w:rsidR="00A453D1">
        <w:rPr>
          <w:lang w:eastAsia="zh-CN"/>
        </w:rPr>
        <w:t>UAS CNPC</w:t>
      </w:r>
      <w:r>
        <w:rPr>
          <w:rFonts w:hint="eastAsia"/>
          <w:lang w:eastAsia="zh-CN"/>
        </w:rPr>
        <w:t>的需求。</w:t>
      </w:r>
    </w:p>
    <w:p w:rsidR="00A453D1" w:rsidRPr="00EE225B" w:rsidRDefault="005E5AC1" w:rsidP="00540855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A453D1" w:rsidRPr="00EE225B" w:rsidRDefault="005E5AC1" w:rsidP="00D714B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 w:rsidR="00A453D1">
        <w:rPr>
          <w:lang w:eastAsia="zh-CN"/>
        </w:rPr>
        <w:t>ITU-R</w:t>
      </w:r>
      <w:r>
        <w:rPr>
          <w:rFonts w:hint="eastAsia"/>
          <w:lang w:eastAsia="zh-CN"/>
        </w:rPr>
        <w:t>的研究结果，阿拉伯国家主管部门做出以下建议：</w:t>
      </w:r>
    </w:p>
    <w:p w:rsidR="00DB1CAC" w:rsidRDefault="00A453D1" w:rsidP="00540855">
      <w:pPr>
        <w:pStyle w:val="ArtNo"/>
        <w:rPr>
          <w:lang w:eastAsia="zh-CN"/>
        </w:rPr>
      </w:pPr>
      <w:bookmarkStart w:id="9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DB1CAC" w:rsidRDefault="00A453D1" w:rsidP="00540855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815B18" w:rsidRDefault="00A453D1" w:rsidP="00540855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ARB/25A5/1</w:t>
      </w:r>
    </w:p>
    <w:p w:rsidR="00DB1CAC" w:rsidRDefault="00A453D1" w:rsidP="00540855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815B18" w:rsidRDefault="00A453D1" w:rsidP="0054085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25BB7" w:rsidRPr="008A158A">
        <w:rPr>
          <w:rFonts w:hint="eastAsia"/>
          <w:lang w:eastAsia="zh-CN"/>
        </w:rPr>
        <w:t>将</w:t>
      </w:r>
      <w:r w:rsidR="00E25BB7" w:rsidRPr="008A158A">
        <w:rPr>
          <w:rFonts w:hint="eastAsia"/>
          <w:lang w:eastAsia="zh-CN"/>
        </w:rPr>
        <w:t>FSS</w:t>
      </w:r>
      <w:r w:rsidR="00E25BB7" w:rsidRPr="008A158A">
        <w:rPr>
          <w:rFonts w:hint="eastAsia"/>
          <w:lang w:eastAsia="zh-CN"/>
        </w:rPr>
        <w:t>用于</w:t>
      </w:r>
      <w:r w:rsidR="00E25BB7" w:rsidRPr="008A158A">
        <w:rPr>
          <w:lang w:eastAsia="zh-CN"/>
        </w:rPr>
        <w:t>UAS CNPC</w:t>
      </w:r>
      <w:r w:rsidR="00E25BB7" w:rsidRPr="008A158A">
        <w:rPr>
          <w:rFonts w:hint="eastAsia"/>
          <w:lang w:eastAsia="zh-CN"/>
        </w:rPr>
        <w:t>链路存在大量技术、操作和规则障碍。此外，现有</w:t>
      </w:r>
      <w:r w:rsidR="00E25BB7" w:rsidRPr="008A158A">
        <w:rPr>
          <w:rFonts w:hint="eastAsia"/>
          <w:lang w:eastAsia="zh-CN"/>
        </w:rPr>
        <w:t>AMS</w:t>
      </w:r>
      <w:r w:rsidR="00E25BB7" w:rsidRPr="008A158A">
        <w:rPr>
          <w:lang w:eastAsia="zh-CN"/>
        </w:rPr>
        <w:t>(R)S</w:t>
      </w:r>
      <w:r w:rsidR="00E25BB7" w:rsidRPr="008A158A">
        <w:rPr>
          <w:rFonts w:hint="eastAsia"/>
          <w:lang w:eastAsia="zh-CN"/>
        </w:rPr>
        <w:t>以及</w:t>
      </w:r>
      <w:r w:rsidR="00E25BB7" w:rsidRPr="008A158A">
        <w:rPr>
          <w:rFonts w:hint="eastAsia"/>
          <w:lang w:eastAsia="zh-CN"/>
        </w:rPr>
        <w:t>AMSS</w:t>
      </w:r>
      <w:r w:rsidR="00E25BB7" w:rsidRPr="008A158A">
        <w:rPr>
          <w:rFonts w:hint="eastAsia"/>
          <w:lang w:eastAsia="zh-CN"/>
        </w:rPr>
        <w:t>和</w:t>
      </w:r>
      <w:r w:rsidR="00E25BB7" w:rsidRPr="008A158A">
        <w:rPr>
          <w:rFonts w:hint="eastAsia"/>
          <w:lang w:eastAsia="zh-CN"/>
        </w:rPr>
        <w:t>MSS</w:t>
      </w:r>
      <w:r w:rsidR="00E25BB7" w:rsidRPr="008A158A">
        <w:rPr>
          <w:rFonts w:hint="eastAsia"/>
          <w:lang w:eastAsia="zh-CN"/>
        </w:rPr>
        <w:t>的划分在一定条件下在这些业务频段内可以满足</w:t>
      </w:r>
      <w:r w:rsidR="00E25BB7" w:rsidRPr="008A158A">
        <w:rPr>
          <w:lang w:eastAsia="zh-CN"/>
        </w:rPr>
        <w:t>UAS CNPC</w:t>
      </w:r>
      <w:r w:rsidR="00E25BB7" w:rsidRPr="008A158A">
        <w:rPr>
          <w:rFonts w:hint="eastAsia"/>
          <w:lang w:eastAsia="zh-CN"/>
        </w:rPr>
        <w:t>的需求。</w:t>
      </w:r>
    </w:p>
    <w:p w:rsidR="00815B18" w:rsidRDefault="00A453D1" w:rsidP="00540855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ARB/25A5/2</w:t>
      </w:r>
    </w:p>
    <w:p w:rsidR="007B4F46" w:rsidRPr="00325E75" w:rsidRDefault="00A453D1" w:rsidP="00540855">
      <w:pPr>
        <w:pStyle w:val="ResNo"/>
        <w:spacing w:before="0"/>
        <w:rPr>
          <w:lang w:eastAsia="zh-CN"/>
        </w:rPr>
      </w:pPr>
      <w:bookmarkStart w:id="11" w:name="_Toc328053052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153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</w:t>
      </w:r>
      <w:r>
        <w:rPr>
          <w:rFonts w:hint="eastAsia"/>
          <w:lang w:eastAsia="zh-CN"/>
        </w:rPr>
        <w:t>-</w:t>
      </w:r>
      <w:r>
        <w:rPr>
          <w:lang w:eastAsia="zh-CN"/>
        </w:rPr>
        <w:t>12</w:t>
      </w:r>
      <w:r>
        <w:rPr>
          <w:rFonts w:hint="eastAsia"/>
          <w:lang w:eastAsia="zh-CN"/>
        </w:rPr>
        <w:t>）</w:t>
      </w:r>
      <w:bookmarkEnd w:id="11"/>
    </w:p>
    <w:p w:rsidR="007B4F46" w:rsidRPr="00325E75" w:rsidRDefault="00A453D1" w:rsidP="00540855">
      <w:pPr>
        <w:pStyle w:val="Restitle"/>
        <w:rPr>
          <w:color w:val="000000"/>
          <w:lang w:eastAsia="zh-CN"/>
        </w:rPr>
      </w:pPr>
      <w:bookmarkStart w:id="12" w:name="_Toc328053053"/>
      <w:r w:rsidRPr="002C5272">
        <w:rPr>
          <w:rFonts w:hint="eastAsia"/>
          <w:lang w:eastAsia="zh-CN"/>
        </w:rPr>
        <w:t>将划分给不涉及附录</w:t>
      </w:r>
      <w:r w:rsidRPr="002C5272">
        <w:rPr>
          <w:lang w:eastAsia="zh-CN"/>
        </w:rPr>
        <w:t>30</w:t>
      </w:r>
      <w:r w:rsidRPr="002C5272">
        <w:rPr>
          <w:rFonts w:hint="eastAsia"/>
          <w:lang w:eastAsia="zh-CN"/>
        </w:rPr>
        <w:t>、</w:t>
      </w:r>
      <w:r w:rsidRPr="002C5272">
        <w:rPr>
          <w:lang w:eastAsia="zh-CN"/>
        </w:rPr>
        <w:t>30A</w:t>
      </w:r>
      <w:r w:rsidRPr="002C5272">
        <w:rPr>
          <w:rFonts w:hint="eastAsia"/>
          <w:lang w:eastAsia="zh-CN"/>
        </w:rPr>
        <w:t>和</w:t>
      </w:r>
      <w:r w:rsidRPr="002C5272">
        <w:rPr>
          <w:lang w:eastAsia="zh-CN"/>
        </w:rPr>
        <w:t>30B</w:t>
      </w:r>
      <w:r w:rsidRPr="002C5272">
        <w:rPr>
          <w:rFonts w:hint="eastAsia"/>
          <w:lang w:eastAsia="zh-CN"/>
        </w:rPr>
        <w:t>的</w:t>
      </w:r>
      <w:r w:rsidRPr="002C5272">
        <w:rPr>
          <w:lang w:eastAsia="zh-CN"/>
        </w:rPr>
        <w:br/>
      </w:r>
      <w:r w:rsidRPr="002C5272">
        <w:rPr>
          <w:rFonts w:hint="eastAsia"/>
          <w:lang w:eastAsia="zh-CN"/>
        </w:rPr>
        <w:t>卫星固定业务的频段用于非隔离空域</w:t>
      </w:r>
      <w:r w:rsidRPr="002C5272">
        <w:rPr>
          <w:lang w:eastAsia="zh-CN"/>
        </w:rPr>
        <w:br/>
      </w:r>
      <w:r w:rsidRPr="002C5272">
        <w:rPr>
          <w:rFonts w:hint="eastAsia"/>
          <w:lang w:eastAsia="zh-CN"/>
        </w:rPr>
        <w:t>无人操作航空器系统的控制和</w:t>
      </w:r>
      <w:r w:rsidRPr="002C5272">
        <w:rPr>
          <w:lang w:eastAsia="zh-CN"/>
        </w:rPr>
        <w:br/>
      </w:r>
      <w:r w:rsidRPr="002C5272">
        <w:rPr>
          <w:rFonts w:hint="eastAsia"/>
          <w:lang w:eastAsia="zh-CN"/>
        </w:rPr>
        <w:t>非有效载荷通信</w:t>
      </w:r>
      <w:bookmarkEnd w:id="12"/>
    </w:p>
    <w:p w:rsidR="00815B18" w:rsidRDefault="00A453D1" w:rsidP="0054085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E5AC1">
        <w:rPr>
          <w:rFonts w:hint="eastAsia"/>
          <w:lang w:eastAsia="zh-CN"/>
        </w:rPr>
        <w:t>此决议已不再需要。</w:t>
      </w:r>
    </w:p>
    <w:p w:rsidR="00A453D1" w:rsidRDefault="00A453D1" w:rsidP="00540855">
      <w:pPr>
        <w:pStyle w:val="Reasons"/>
        <w:rPr>
          <w:lang w:eastAsia="zh-CN"/>
        </w:rPr>
      </w:pPr>
    </w:p>
    <w:p w:rsidR="00A453D1" w:rsidRDefault="00A453D1" w:rsidP="00540855">
      <w:pPr>
        <w:jc w:val="center"/>
      </w:pPr>
      <w:r>
        <w:t>______________</w:t>
      </w:r>
    </w:p>
    <w:sectPr w:rsidR="00A453D1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3D1" w:rsidRDefault="00A453D1" w:rsidP="00A453D1">
    <w:pPr>
      <w:pStyle w:val="Header"/>
    </w:pPr>
  </w:p>
  <w:p w:rsidR="00A453D1" w:rsidRPr="00DA0469" w:rsidRDefault="00A453D1" w:rsidP="00A453D1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B5043">
      <w:rPr>
        <w:lang w:val="en-US"/>
      </w:rPr>
      <w:t>P:\CHI\ITU-R\CONF-R\CMR15\000\025ADD05C.docx</w:t>
    </w:r>
    <w:r>
      <w:fldChar w:fldCharType="end"/>
    </w:r>
    <w:r>
      <w:t xml:space="preserve"> </w:t>
    </w:r>
    <w:r>
      <w:rPr>
        <w:rFonts w:hint="eastAsia"/>
        <w:lang w:eastAsia="zh-CN"/>
      </w:rPr>
      <w:t>(</w:t>
    </w:r>
    <w:r>
      <w:rPr>
        <w:lang w:eastAsia="zh-CN"/>
      </w:rPr>
      <w:t>386855</w:t>
    </w:r>
    <w:r>
      <w:rPr>
        <w:rFonts w:hint="eastAsia"/>
        <w:lang w:eastAsia="zh-CN"/>
      </w:rPr>
      <w:t>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5043">
      <w:t>24.09.15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B5043">
      <w:t>24.09.15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B5043">
      <w:rPr>
        <w:lang w:val="en-US"/>
      </w:rPr>
      <w:t>P:\CHI\ITU-R\CONF-R\CMR15\000\025ADD05C.docx</w:t>
    </w:r>
    <w:r>
      <w:fldChar w:fldCharType="end"/>
    </w:r>
    <w:r w:rsidR="00A453D1">
      <w:t xml:space="preserve"> </w:t>
    </w:r>
    <w:r w:rsidR="00A453D1">
      <w:rPr>
        <w:rFonts w:hint="eastAsia"/>
        <w:lang w:eastAsia="zh-CN"/>
      </w:rPr>
      <w:t>(</w:t>
    </w:r>
    <w:r w:rsidR="00A453D1">
      <w:rPr>
        <w:lang w:eastAsia="zh-CN"/>
      </w:rPr>
      <w:t>386855</w:t>
    </w:r>
    <w:r w:rsidR="00A453D1">
      <w:rPr>
        <w:rFonts w:hint="eastAsia"/>
        <w:lang w:eastAsia="zh-CN"/>
      </w:rPr>
      <w:t>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5043">
      <w:t>24.09.15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B5043">
      <w:t>24.09.15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5043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25(Add.5)-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5047F"/>
    <w:rsid w:val="00166859"/>
    <w:rsid w:val="001765EC"/>
    <w:rsid w:val="0018170C"/>
    <w:rsid w:val="001853E8"/>
    <w:rsid w:val="001B5043"/>
    <w:rsid w:val="001B6360"/>
    <w:rsid w:val="001F4EA6"/>
    <w:rsid w:val="00214959"/>
    <w:rsid w:val="002260A6"/>
    <w:rsid w:val="00266010"/>
    <w:rsid w:val="002742B3"/>
    <w:rsid w:val="00286649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0855"/>
    <w:rsid w:val="00542E85"/>
    <w:rsid w:val="00562479"/>
    <w:rsid w:val="00576849"/>
    <w:rsid w:val="005A0ACB"/>
    <w:rsid w:val="005A2FA8"/>
    <w:rsid w:val="005E08D2"/>
    <w:rsid w:val="005E5AC1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799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15B18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53D1"/>
    <w:rsid w:val="00A466E6"/>
    <w:rsid w:val="00A815BE"/>
    <w:rsid w:val="00A81A68"/>
    <w:rsid w:val="00AA5DA1"/>
    <w:rsid w:val="00AE369F"/>
    <w:rsid w:val="00B026CB"/>
    <w:rsid w:val="00B711CC"/>
    <w:rsid w:val="00B851D4"/>
    <w:rsid w:val="00B868FC"/>
    <w:rsid w:val="00B95072"/>
    <w:rsid w:val="00BB0133"/>
    <w:rsid w:val="00BB26CD"/>
    <w:rsid w:val="00C07239"/>
    <w:rsid w:val="00C364B1"/>
    <w:rsid w:val="00C47D87"/>
    <w:rsid w:val="00C51011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14B3"/>
    <w:rsid w:val="00D74599"/>
    <w:rsid w:val="00DA0469"/>
    <w:rsid w:val="00DD13B7"/>
    <w:rsid w:val="00DF3B0C"/>
    <w:rsid w:val="00E14984"/>
    <w:rsid w:val="00E21359"/>
    <w:rsid w:val="00E22A25"/>
    <w:rsid w:val="00E25BB7"/>
    <w:rsid w:val="00E560F1"/>
    <w:rsid w:val="00E92319"/>
    <w:rsid w:val="00E96E13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BAB2E6-96F7-4F29-A23A-52008F42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R15-WRC15-C-0025!A5!MSW-C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72D86-FD00-40C3-A81D-F84D4FAF2C23}">
  <ds:schemaRefs>
    <ds:schemaRef ds:uri="http://purl.org/dc/dcmitype/"/>
    <ds:schemaRef ds:uri="http://purl.org/dc/elements/1.1/"/>
    <ds:schemaRef ds:uri="996b2e75-67fd-4955-a3b0-5ab9934cb50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2a1a8c5-2265-4ebc-b7a0-2071e2c5c9b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809</Words>
  <Characters>1016</Characters>
  <Application>Microsoft Office Word</Application>
  <DocSecurity>0</DocSecurity>
  <Lines>57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R15-WRC15-C-0025!A5!MSW-C</vt:lpstr>
    </vt:vector>
  </TitlesOfParts>
  <Manager>General Secretariat - Pool</Manager>
  <Company>International Telecommunication Union (ITU)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R15-WRC15-C-0025!A5!MSW-C</dc:title>
  <dc:subject>World Radiocommunication Conference - 2015</dc:subject>
  <dc:creator>Documents Proposals Manager (DPM)</dc:creator>
  <cp:keywords>DPM_v5.2015.9.16_prod</cp:keywords>
  <dc:description/>
  <cp:lastModifiedBy>Cong, Cong</cp:lastModifiedBy>
  <cp:revision>8</cp:revision>
  <cp:lastPrinted>2015-09-24T09:18:00Z</cp:lastPrinted>
  <dcterms:created xsi:type="dcterms:W3CDTF">2015-09-24T09:07:00Z</dcterms:created>
  <dcterms:modified xsi:type="dcterms:W3CDTF">2015-09-24T09:18:00Z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