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</w:t>
            </w:r>
            <w:r w:rsidRPr="002E2960">
              <w:t>15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2E2960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2E2960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2E2960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C324D8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C324D8" w:rsidRDefault="003E1608" w:rsidP="003E1608">
            <w:pPr>
              <w:pStyle w:val="Adress"/>
              <w:framePr w:hSpace="0" w:wrap="auto" w:xAlign="left" w:yAlign="inline"/>
              <w:rPr>
                <w:rtl/>
              </w:rPr>
            </w:pPr>
            <w:r w:rsidRPr="00C324D8">
              <w:rPr>
                <w:rtl/>
              </w:rPr>
              <w:t xml:space="preserve">الإضافة </w:t>
            </w:r>
            <w:r w:rsidRPr="00C324D8">
              <w:t>5</w:t>
            </w:r>
            <w:r w:rsidRPr="00C324D8">
              <w:br/>
            </w:r>
            <w:r w:rsidRPr="00C324D8">
              <w:rPr>
                <w:rtl/>
              </w:rPr>
              <w:t xml:space="preserve">للوثيقة </w:t>
            </w:r>
            <w:r w:rsidRPr="00C324D8">
              <w:t>25-</w:t>
            </w:r>
            <w:r w:rsidR="00EC3F88" w:rsidRPr="00C324D8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C324D8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C324D8">
              <w:rPr>
                <w:rFonts w:eastAsia="SimSun"/>
              </w:rPr>
              <w:t>10</w:t>
            </w:r>
            <w:r w:rsidRPr="00C324D8">
              <w:rPr>
                <w:rFonts w:eastAsia="SimSun"/>
                <w:rtl/>
              </w:rPr>
              <w:t xml:space="preserve"> سبتمبر </w:t>
            </w:r>
            <w:r w:rsidRPr="00C324D8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C324D8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C324D8">
              <w:rPr>
                <w:rFonts w:eastAsia="SimSun"/>
                <w:rtl/>
              </w:rPr>
              <w:t>الأصل: بالعربية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الدول العربية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E2960" w:rsidP="00D44350">
            <w:pPr>
              <w:pStyle w:val="Title1"/>
              <w:spacing w:before="240"/>
              <w:rPr>
                <w:rtl/>
              </w:rPr>
            </w:pPr>
            <w:r w:rsidRPr="00597D46"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E296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Pr="002E2960">
              <w:rPr>
                <w:lang w:val="en-US"/>
              </w:rPr>
              <w:t>5</w:t>
            </w:r>
            <w:r w:rsidR="002E2960">
              <w:t>.</w:t>
            </w:r>
            <w:r w:rsidRPr="002E2960">
              <w:rPr>
                <w:lang w:val="en-US"/>
              </w:rPr>
              <w:t>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C324D8" w:rsidP="00E74523">
      <w:pPr>
        <w:pStyle w:val="Normalaftertitle"/>
        <w:rPr>
          <w:rFonts w:eastAsia="SimSun"/>
          <w:rtl/>
        </w:rPr>
      </w:pPr>
      <w:r w:rsidRPr="002E2960">
        <w:rPr>
          <w:rFonts w:eastAsia="SimSun"/>
        </w:rPr>
        <w:t>5</w:t>
      </w:r>
      <w:r w:rsidRPr="00431196">
        <w:rPr>
          <w:rFonts w:eastAsia="SimSun"/>
        </w:rPr>
        <w:t>.</w:t>
      </w:r>
      <w:r w:rsidRPr="002E2960">
        <w:rPr>
          <w:rFonts w:eastAsia="SimSun"/>
        </w:rPr>
        <w:t>1</w:t>
      </w:r>
      <w:r w:rsidRPr="00431196">
        <w:rPr>
          <w:rFonts w:eastAsia="SimSun" w:hint="cs"/>
          <w:rtl/>
        </w:rPr>
        <w:tab/>
        <w:t xml:space="preserve">النظر في استعمال نطاقات التردد الموزعة للخدمة الثابتة الساتلية التي لا تخضع للتذييلات </w:t>
      </w:r>
      <w:r w:rsidRPr="002E2960">
        <w:rPr>
          <w:rFonts w:eastAsia="SimSun"/>
          <w:b/>
          <w:bCs/>
        </w:rPr>
        <w:t>30</w:t>
      </w:r>
      <w:r w:rsidRPr="00431196">
        <w:rPr>
          <w:rFonts w:eastAsia="SimSun" w:hint="cs"/>
          <w:rtl/>
        </w:rPr>
        <w:t xml:space="preserve"> و</w:t>
      </w:r>
      <w:r w:rsidRPr="002E2960">
        <w:rPr>
          <w:rFonts w:eastAsia="SimSun"/>
          <w:b/>
          <w:bCs/>
        </w:rPr>
        <w:t>30</w:t>
      </w:r>
      <w:r w:rsidRPr="00431196">
        <w:rPr>
          <w:rFonts w:eastAsia="SimSun"/>
          <w:b/>
          <w:bCs/>
        </w:rPr>
        <w:t>A</w:t>
      </w:r>
      <w:r w:rsidRPr="00431196">
        <w:rPr>
          <w:rFonts w:eastAsia="SimSun" w:hint="cs"/>
          <w:rtl/>
        </w:rPr>
        <w:t xml:space="preserve"> و</w:t>
      </w:r>
      <w:r w:rsidRPr="002E2960">
        <w:rPr>
          <w:rFonts w:eastAsia="SimSun"/>
          <w:b/>
          <w:bCs/>
        </w:rPr>
        <w:t>30</w:t>
      </w:r>
      <w:r w:rsidRPr="00431196">
        <w:rPr>
          <w:rFonts w:eastAsia="SimSun"/>
          <w:b/>
          <w:bCs/>
        </w:rPr>
        <w:t>B</w:t>
      </w:r>
      <w:r w:rsidRPr="00431196">
        <w:rPr>
          <w:rFonts w:eastAsia="SimSun" w:hint="cs"/>
          <w:rtl/>
        </w:rPr>
        <w:t xml:space="preserve"> من أجل اتصالات المراقبة والاتصالات خارج الحمولة النافعة لأنظمة الطائرات دون طيار في الفضاء الجوي غير المحجوز، وفقاً للقرار</w:t>
      </w:r>
      <w:r w:rsidRPr="00431196">
        <w:rPr>
          <w:rFonts w:eastAsia="SimSun" w:hint="eastAsia"/>
          <w:rtl/>
        </w:rPr>
        <w:t> </w:t>
      </w:r>
      <w:r w:rsidRPr="002E2960">
        <w:rPr>
          <w:rFonts w:eastAsia="SimSun"/>
          <w:b/>
          <w:bCs/>
        </w:rPr>
        <w:t>153</w:t>
      </w:r>
      <w:r w:rsidRPr="00431196">
        <w:rPr>
          <w:rFonts w:eastAsia="SimSun"/>
          <w:b/>
          <w:bCs/>
        </w:rPr>
        <w:t> (WRC</w:t>
      </w:r>
      <w:r w:rsidRPr="00431196">
        <w:rPr>
          <w:rFonts w:eastAsia="SimSun"/>
          <w:b/>
          <w:bCs/>
        </w:rPr>
        <w:noBreakHyphen/>
      </w:r>
      <w:r w:rsidRPr="002E2960">
        <w:rPr>
          <w:rFonts w:eastAsia="SimSun"/>
          <w:b/>
          <w:bCs/>
        </w:rPr>
        <w:t>12</w:t>
      </w:r>
      <w:r w:rsidRPr="00431196">
        <w:rPr>
          <w:rFonts w:eastAsia="SimSun"/>
          <w:b/>
          <w:bCs/>
        </w:rPr>
        <w:t>)</w:t>
      </w:r>
      <w:r w:rsidRPr="00431196">
        <w:rPr>
          <w:rFonts w:eastAsia="SimSun" w:hint="cs"/>
          <w:rtl/>
        </w:rPr>
        <w:t>؛</w:t>
      </w:r>
    </w:p>
    <w:p w:rsidR="002E2960" w:rsidRPr="00E65395" w:rsidRDefault="00EC3F88" w:rsidP="00EC3F88">
      <w:pPr>
        <w:pStyle w:val="Headingb"/>
      </w:pPr>
      <w:r>
        <w:rPr>
          <w:rFonts w:hint="cs"/>
          <w:rtl/>
        </w:rPr>
        <w:t>مقدمة</w:t>
      </w:r>
    </w:p>
    <w:p w:rsidR="002E2960" w:rsidRPr="00EC3F88" w:rsidRDefault="002E2960" w:rsidP="00E74523">
      <w:pPr>
        <w:rPr>
          <w:rFonts w:eastAsia="SimSun"/>
          <w:rtl/>
        </w:rPr>
      </w:pPr>
      <w:r w:rsidRPr="00EC3F88">
        <w:rPr>
          <w:rFonts w:hint="cs"/>
          <w:rtl/>
        </w:rPr>
        <w:t xml:space="preserve">دعا القرار </w:t>
      </w:r>
      <w:r w:rsidRPr="00EC3F88">
        <w:rPr>
          <w:rFonts w:eastAsia="SimSun"/>
        </w:rPr>
        <w:t>153 (WRC</w:t>
      </w:r>
      <w:r w:rsidRPr="00EC3F88">
        <w:rPr>
          <w:rFonts w:eastAsia="SimSun"/>
        </w:rPr>
        <w:noBreakHyphen/>
        <w:t>12)</w:t>
      </w:r>
      <w:r w:rsidRPr="00EC3F88">
        <w:rPr>
          <w:rFonts w:eastAsia="SimSun" w:hint="cs"/>
          <w:rtl/>
        </w:rPr>
        <w:t xml:space="preserve"> قطاع الاتصالات الراديوية إلى إجراء الدراسات اللازمة في الوقت المناسب قبل المؤتمر </w:t>
      </w:r>
      <w:r w:rsidRPr="00EC3F88">
        <w:rPr>
          <w:rFonts w:eastAsia="SimSun"/>
        </w:rPr>
        <w:t>WRC</w:t>
      </w:r>
      <w:r w:rsidR="00E74523">
        <w:rPr>
          <w:rFonts w:eastAsia="SimSun"/>
        </w:rPr>
        <w:noBreakHyphen/>
      </w:r>
      <w:r w:rsidRPr="00EC3F88">
        <w:rPr>
          <w:rFonts w:eastAsia="SimSun"/>
        </w:rPr>
        <w:t>15</w:t>
      </w:r>
      <w:r w:rsidRPr="00EC3F88">
        <w:rPr>
          <w:rFonts w:eastAsia="SimSun" w:hint="cs"/>
          <w:rtl/>
        </w:rPr>
        <w:t xml:space="preserve"> بغرض رفع توصيات تقنية وتنظيمية وتشغيلية إلى المؤتمر، مما يسمح للمؤتمر </w:t>
      </w:r>
      <w:r w:rsidR="00EC3F88" w:rsidRPr="00EC3F88">
        <w:rPr>
          <w:rFonts w:eastAsia="SimSun" w:hint="cs"/>
          <w:rtl/>
        </w:rPr>
        <w:t>باتخاذ</w:t>
      </w:r>
      <w:r w:rsidRPr="00EC3F88">
        <w:rPr>
          <w:rFonts w:eastAsia="SimSun" w:hint="cs"/>
          <w:rtl/>
        </w:rPr>
        <w:t xml:space="preserve"> قرار بشأن </w:t>
      </w:r>
      <w:r w:rsidR="00EC3F88" w:rsidRPr="00EC3F88">
        <w:rPr>
          <w:rFonts w:eastAsia="SimSun" w:hint="cs"/>
          <w:rtl/>
        </w:rPr>
        <w:t>استعمال</w:t>
      </w:r>
      <w:r w:rsidRPr="00EC3F88">
        <w:rPr>
          <w:rFonts w:eastAsia="SimSun" w:hint="cs"/>
          <w:rtl/>
        </w:rPr>
        <w:t xml:space="preserve"> الخدمة الثابتة الساتلية من أجل وصلات </w:t>
      </w:r>
      <w:r w:rsidRPr="00EC3F88">
        <w:rPr>
          <w:rFonts w:eastAsia="SimSun"/>
        </w:rPr>
        <w:t>CNPC</w:t>
      </w:r>
      <w:r w:rsidRPr="00EC3F88">
        <w:rPr>
          <w:rFonts w:eastAsia="SimSun" w:hint="cs"/>
          <w:rtl/>
        </w:rPr>
        <w:t xml:space="preserve"> لتشغيل أنظمة </w:t>
      </w:r>
      <w:r w:rsidRPr="00EC3F88">
        <w:rPr>
          <w:rFonts w:eastAsia="SimSun"/>
        </w:rPr>
        <w:t>UAS</w:t>
      </w:r>
      <w:r w:rsidRPr="00EC3F88">
        <w:rPr>
          <w:rFonts w:eastAsia="SimSun" w:hint="cs"/>
          <w:rtl/>
        </w:rPr>
        <w:t>.</w:t>
      </w:r>
    </w:p>
    <w:p w:rsidR="002E2960" w:rsidRDefault="002E2960" w:rsidP="00647EBB">
      <w:pPr>
        <w:rPr>
          <w:rFonts w:eastAsia="SimSun"/>
          <w:rtl/>
          <w:lang w:bidi="ar-OM"/>
        </w:rPr>
      </w:pPr>
      <w:r>
        <w:rPr>
          <w:rFonts w:eastAsia="SimSun" w:hint="cs"/>
          <w:rtl/>
          <w:lang w:bidi="ar-OM"/>
        </w:rPr>
        <w:t xml:space="preserve">ولم تتوصل دراسات قطاع </w:t>
      </w:r>
      <w:r w:rsidR="00EC3F88">
        <w:rPr>
          <w:rFonts w:eastAsia="SimSun" w:hint="cs"/>
          <w:rtl/>
          <w:lang w:bidi="ar-OM"/>
        </w:rPr>
        <w:t>الاتصالات</w:t>
      </w:r>
      <w:r>
        <w:rPr>
          <w:rFonts w:eastAsia="SimSun" w:hint="cs"/>
          <w:rtl/>
          <w:lang w:bidi="ar-OM"/>
        </w:rPr>
        <w:t xml:space="preserve"> الراديوية التي تم إجراءها في إطار القرار أعلاه إلى </w:t>
      </w:r>
      <w:r w:rsidR="00EC3F88">
        <w:rPr>
          <w:rFonts w:eastAsia="SimSun" w:hint="cs"/>
          <w:rtl/>
          <w:lang w:bidi="ar-OM"/>
        </w:rPr>
        <w:t>اتفاق</w:t>
      </w:r>
      <w:r>
        <w:rPr>
          <w:rFonts w:eastAsia="SimSun" w:hint="cs"/>
          <w:rtl/>
          <w:lang w:bidi="ar-OM"/>
        </w:rPr>
        <w:t xml:space="preserve"> بش</w:t>
      </w:r>
      <w:r w:rsidR="00647EBB">
        <w:rPr>
          <w:rFonts w:eastAsia="SimSun" w:hint="cs"/>
          <w:rtl/>
          <w:lang w:bidi="ar-OM"/>
        </w:rPr>
        <w:t>أ</w:t>
      </w:r>
      <w:r>
        <w:rPr>
          <w:rFonts w:eastAsia="SimSun" w:hint="cs"/>
          <w:rtl/>
          <w:lang w:bidi="ar-OM"/>
        </w:rPr>
        <w:t xml:space="preserve">ن الدراسات المقدمة التي تدعي أن بيئة التداخل إزاء الخدمات الحالية تسمح للإدارات بتحديد ما إذا كان من الممكن </w:t>
      </w:r>
      <w:r w:rsidR="00EC3F88">
        <w:rPr>
          <w:rFonts w:eastAsia="SimSun" w:hint="cs"/>
          <w:rtl/>
          <w:lang w:bidi="ar-OM"/>
        </w:rPr>
        <w:t>استعمال</w:t>
      </w:r>
      <w:r>
        <w:rPr>
          <w:rFonts w:eastAsia="SimSun" w:hint="cs"/>
          <w:rtl/>
          <w:lang w:bidi="ar-OM"/>
        </w:rPr>
        <w:t xml:space="preserve"> نطاقات التردد الموزعة للخدمة الثابتة الساتلية </w:t>
      </w:r>
      <w:r w:rsidR="00C14673">
        <w:rPr>
          <w:rFonts w:eastAsia="SimSun"/>
          <w:lang w:bidi="ar-OM"/>
        </w:rPr>
        <w:t>(</w:t>
      </w:r>
      <w:r>
        <w:rPr>
          <w:rFonts w:eastAsia="SimSun"/>
          <w:lang w:bidi="ar-OM"/>
        </w:rPr>
        <w:t>FSS</w:t>
      </w:r>
      <w:r w:rsidR="00C14673">
        <w:rPr>
          <w:rFonts w:eastAsia="SimSun"/>
          <w:lang w:bidi="ar-OM"/>
        </w:rPr>
        <w:t>)</w:t>
      </w:r>
      <w:r>
        <w:rPr>
          <w:rFonts w:eastAsia="SimSun" w:hint="cs"/>
          <w:rtl/>
          <w:lang w:bidi="ar-OM"/>
        </w:rPr>
        <w:t xml:space="preserve"> لتوفير الوصلات </w:t>
      </w:r>
      <w:r>
        <w:rPr>
          <w:rFonts w:eastAsia="SimSun"/>
          <w:lang w:bidi="ar-OM"/>
        </w:rPr>
        <w:t>UAS CNPC</w:t>
      </w:r>
      <w:r>
        <w:rPr>
          <w:rFonts w:eastAsia="SimSun" w:hint="cs"/>
          <w:rtl/>
          <w:lang w:bidi="ar-OM"/>
        </w:rPr>
        <w:t>.</w:t>
      </w:r>
    </w:p>
    <w:p w:rsidR="00F16602" w:rsidRDefault="002E2960" w:rsidP="00EC3F88">
      <w:pPr>
        <w:rPr>
          <w:rtl/>
          <w:lang w:bidi="ar-OM"/>
        </w:rPr>
      </w:pPr>
      <w:r>
        <w:rPr>
          <w:rFonts w:eastAsia="SimSun" w:hint="cs"/>
          <w:rtl/>
          <w:lang w:bidi="ar-OM"/>
        </w:rPr>
        <w:t xml:space="preserve">بالإضافة إلى أن </w:t>
      </w:r>
      <w:r w:rsidR="00EC3F88">
        <w:rPr>
          <w:rFonts w:eastAsia="SimSun" w:hint="cs"/>
          <w:rtl/>
          <w:lang w:bidi="ar-OM"/>
        </w:rPr>
        <w:t>استعمال</w:t>
      </w:r>
      <w:r>
        <w:rPr>
          <w:rFonts w:eastAsia="SimSun" w:hint="cs"/>
          <w:rtl/>
          <w:lang w:bidi="ar-OM"/>
        </w:rPr>
        <w:t xml:space="preserve"> المحطات الأرضية للخدمة </w:t>
      </w:r>
      <w:r>
        <w:rPr>
          <w:rFonts w:eastAsia="SimSun"/>
          <w:lang w:bidi="ar-OM"/>
        </w:rPr>
        <w:t>FSS</w:t>
      </w:r>
      <w:r>
        <w:rPr>
          <w:rFonts w:eastAsia="SimSun" w:hint="cs"/>
          <w:rtl/>
          <w:lang w:bidi="ar-OM"/>
        </w:rPr>
        <w:t xml:space="preserve"> على متن طائرة من أجل وصلات </w:t>
      </w:r>
      <w:r w:rsidR="00EC3F88">
        <w:rPr>
          <w:rFonts w:eastAsia="SimSun" w:hint="cs"/>
          <w:rtl/>
          <w:lang w:bidi="ar-OM"/>
        </w:rPr>
        <w:t>الاتصالات</w:t>
      </w:r>
      <w:r>
        <w:rPr>
          <w:rFonts w:eastAsia="SimSun" w:hint="cs"/>
          <w:rtl/>
          <w:lang w:bidi="ar-OM"/>
        </w:rPr>
        <w:t xml:space="preserve"> </w:t>
      </w:r>
      <w:r>
        <w:rPr>
          <w:rFonts w:eastAsia="SimSun"/>
          <w:lang w:bidi="ar-OM"/>
        </w:rPr>
        <w:t>UAS CNPC</w:t>
      </w:r>
      <w:r>
        <w:rPr>
          <w:rFonts w:eastAsia="SimSun" w:hint="cs"/>
          <w:rtl/>
          <w:lang w:bidi="ar-OM"/>
        </w:rPr>
        <w:t xml:space="preserve"> سيغير كثيرا</w:t>
      </w:r>
      <w:r w:rsidR="00EC3F88">
        <w:rPr>
          <w:rFonts w:eastAsia="SimSun" w:hint="cs"/>
          <w:rtl/>
          <w:lang w:bidi="ar-OM"/>
        </w:rPr>
        <w:t>ً</w:t>
      </w:r>
      <w:r>
        <w:rPr>
          <w:rFonts w:eastAsia="SimSun" w:hint="cs"/>
          <w:rtl/>
          <w:lang w:bidi="ar-OM"/>
        </w:rPr>
        <w:t xml:space="preserve"> من شروط التوافق مع الخدمات القائمة مقارنة</w:t>
      </w:r>
      <w:r w:rsidR="00DE6B7D">
        <w:rPr>
          <w:rFonts w:eastAsia="SimSun" w:hint="cs"/>
          <w:rtl/>
          <w:lang w:bidi="ar-OM"/>
        </w:rPr>
        <w:t>ً</w:t>
      </w:r>
      <w:r>
        <w:rPr>
          <w:rFonts w:eastAsia="SimSun" w:hint="cs"/>
          <w:rtl/>
          <w:lang w:bidi="ar-OM"/>
        </w:rPr>
        <w:t xml:space="preserve"> </w:t>
      </w:r>
      <w:r w:rsidR="00EC3F88">
        <w:rPr>
          <w:rFonts w:eastAsia="SimSun" w:hint="cs"/>
          <w:rtl/>
          <w:lang w:bidi="ar-OM"/>
        </w:rPr>
        <w:t>بالاستعمال</w:t>
      </w:r>
      <w:r>
        <w:rPr>
          <w:rFonts w:eastAsia="SimSun" w:hint="cs"/>
          <w:rtl/>
          <w:lang w:bidi="ar-OM"/>
        </w:rPr>
        <w:t xml:space="preserve"> الحالي للمحطات الأرضية الخاصة والنمطية للخدمة </w:t>
      </w:r>
      <w:r>
        <w:rPr>
          <w:rFonts w:eastAsia="SimSun"/>
          <w:lang w:bidi="ar-OM"/>
        </w:rPr>
        <w:t>FSS</w:t>
      </w:r>
      <w:r>
        <w:rPr>
          <w:rFonts w:eastAsia="SimSun" w:hint="cs"/>
          <w:rtl/>
          <w:lang w:bidi="ar-OM"/>
        </w:rPr>
        <w:t xml:space="preserve"> على سطح الأرض حيث سيؤدي إلى أن مسافات الحماية والتنسيق بين هذه المحطات ومحطات الخدمات الأرضية، على سبيل المثال، قد تزيد عدة أضعاف مقارنة بالقيم الحالية </w:t>
      </w:r>
      <w:r w:rsidR="00EC3F88">
        <w:rPr>
          <w:rFonts w:eastAsia="SimSun" w:hint="cs"/>
          <w:rtl/>
          <w:lang w:bidi="ar-OM"/>
        </w:rPr>
        <w:t>اعتماداً</w:t>
      </w:r>
      <w:r>
        <w:rPr>
          <w:rFonts w:eastAsia="SimSun" w:hint="cs"/>
          <w:rtl/>
          <w:lang w:bidi="ar-OM"/>
        </w:rPr>
        <w:t xml:space="preserve"> على </w:t>
      </w:r>
      <w:r w:rsidR="00EC3F88">
        <w:rPr>
          <w:rFonts w:eastAsia="SimSun" w:hint="cs"/>
          <w:rtl/>
          <w:lang w:bidi="ar-OM"/>
        </w:rPr>
        <w:t>ا</w:t>
      </w:r>
      <w:r>
        <w:rPr>
          <w:rFonts w:eastAsia="SimSun" w:hint="cs"/>
          <w:rtl/>
          <w:lang w:bidi="ar-OM"/>
        </w:rPr>
        <w:t xml:space="preserve">رتفاع طيران الطائرة بدون طيار. وبالتالي فإن توفير الحماية للخدمات القائمة الحالية والمستقبلية التي لها توزيع في النطاقات غير مضمون ولم تتوصل دراسات قطاع </w:t>
      </w:r>
      <w:r w:rsidR="00EC3F88">
        <w:rPr>
          <w:rFonts w:eastAsia="SimSun" w:hint="cs"/>
          <w:rtl/>
          <w:lang w:bidi="ar-OM"/>
        </w:rPr>
        <w:t>الاتصالات</w:t>
      </w:r>
      <w:r>
        <w:rPr>
          <w:rFonts w:eastAsia="SimSun" w:hint="cs"/>
          <w:rtl/>
          <w:lang w:bidi="ar-OM"/>
        </w:rPr>
        <w:t xml:space="preserve"> الراديوية إلى </w:t>
      </w:r>
      <w:r w:rsidR="00EC3F88">
        <w:rPr>
          <w:rFonts w:eastAsia="SimSun" w:hint="cs"/>
          <w:rtl/>
          <w:lang w:bidi="ar-OM"/>
        </w:rPr>
        <w:t>اتفاق</w:t>
      </w:r>
      <w:r>
        <w:rPr>
          <w:rFonts w:eastAsia="SimSun" w:hint="cs"/>
          <w:rtl/>
          <w:lang w:bidi="ar-OM"/>
        </w:rPr>
        <w:t xml:space="preserve"> بشأنه.</w:t>
      </w:r>
    </w:p>
    <w:p w:rsidR="002E2960" w:rsidRPr="003755BE" w:rsidRDefault="002E2960" w:rsidP="00C14673">
      <w:pPr>
        <w:keepNext/>
        <w:keepLines/>
        <w:rPr>
          <w:spacing w:val="-2"/>
          <w:rtl/>
          <w:lang w:bidi="ar-OM"/>
        </w:rPr>
      </w:pPr>
      <w:r w:rsidRPr="003755BE">
        <w:rPr>
          <w:rFonts w:hint="cs"/>
          <w:spacing w:val="-2"/>
          <w:rtl/>
          <w:lang w:bidi="ar-OM"/>
        </w:rPr>
        <w:lastRenderedPageBreak/>
        <w:t xml:space="preserve">الجدير بالذكر أن منظمة الطيران المدني </w:t>
      </w:r>
      <w:r w:rsidR="00C14673" w:rsidRPr="003755BE">
        <w:rPr>
          <w:rFonts w:hint="cs"/>
          <w:spacing w:val="-2"/>
          <w:rtl/>
          <w:lang w:bidi="ar-OM"/>
        </w:rPr>
        <w:t>الدولي</w:t>
      </w:r>
      <w:r w:rsidR="003755BE" w:rsidRPr="003755BE">
        <w:rPr>
          <w:rFonts w:hint="cs"/>
          <w:spacing w:val="-2"/>
          <w:rtl/>
          <w:lang w:bidi="ar-OM"/>
        </w:rPr>
        <w:t xml:space="preserve"> </w:t>
      </w:r>
      <w:r w:rsidR="003755BE" w:rsidRPr="003755BE">
        <w:rPr>
          <w:spacing w:val="-2"/>
          <w:lang w:bidi="ar-OM"/>
        </w:rPr>
        <w:t>(ICAO)</w:t>
      </w:r>
      <w:r w:rsidR="00C14673" w:rsidRPr="003755BE">
        <w:rPr>
          <w:rFonts w:hint="cs"/>
          <w:spacing w:val="-2"/>
          <w:rtl/>
          <w:lang w:bidi="ar-OM"/>
        </w:rPr>
        <w:t xml:space="preserve"> </w:t>
      </w:r>
      <w:r w:rsidRPr="003755BE">
        <w:rPr>
          <w:rFonts w:hint="cs"/>
          <w:spacing w:val="-2"/>
          <w:rtl/>
          <w:lang w:bidi="ar-OM"/>
        </w:rPr>
        <w:t xml:space="preserve">لم تتمكن من توفير الخصائص التقنية للأداء من حيث التوفر والموثوقية </w:t>
      </w:r>
      <w:r w:rsidR="00EC3F88" w:rsidRPr="003755BE">
        <w:rPr>
          <w:rFonts w:hint="cs"/>
          <w:spacing w:val="-2"/>
          <w:rtl/>
          <w:lang w:bidi="ar-OM"/>
        </w:rPr>
        <w:t>والاستمرارية</w:t>
      </w:r>
      <w:r w:rsidRPr="003755BE">
        <w:rPr>
          <w:rFonts w:hint="cs"/>
          <w:spacing w:val="-2"/>
          <w:rtl/>
          <w:lang w:bidi="ar-OM"/>
        </w:rPr>
        <w:t xml:space="preserve"> التي يمك</w:t>
      </w:r>
      <w:r w:rsidR="00A1528E">
        <w:rPr>
          <w:rFonts w:hint="cs"/>
          <w:spacing w:val="-2"/>
          <w:rtl/>
          <w:lang w:bidi="ar-OM"/>
        </w:rPr>
        <w:t>ّ</w:t>
      </w:r>
      <w:bookmarkStart w:id="1" w:name="_GoBack"/>
      <w:bookmarkEnd w:id="1"/>
      <w:r w:rsidRPr="003755BE">
        <w:rPr>
          <w:rFonts w:hint="cs"/>
          <w:spacing w:val="-2"/>
          <w:rtl/>
          <w:lang w:bidi="ar-OM"/>
        </w:rPr>
        <w:t xml:space="preserve">ن من خلالها قطاع </w:t>
      </w:r>
      <w:r w:rsidR="00EC3F88" w:rsidRPr="003755BE">
        <w:rPr>
          <w:rFonts w:hint="cs"/>
          <w:spacing w:val="-2"/>
          <w:rtl/>
          <w:lang w:bidi="ar-OM"/>
        </w:rPr>
        <w:t>الاتصالات</w:t>
      </w:r>
      <w:r w:rsidRPr="003755BE">
        <w:rPr>
          <w:rFonts w:hint="cs"/>
          <w:spacing w:val="-2"/>
          <w:rtl/>
          <w:lang w:bidi="ar-OM"/>
        </w:rPr>
        <w:t xml:space="preserve"> الراديوية من </w:t>
      </w:r>
      <w:r w:rsidR="00EC3F88" w:rsidRPr="003755BE">
        <w:rPr>
          <w:rFonts w:hint="cs"/>
          <w:spacing w:val="-2"/>
          <w:rtl/>
          <w:lang w:bidi="ar-OM"/>
        </w:rPr>
        <w:t>اشتقاق</w:t>
      </w:r>
      <w:r w:rsidRPr="003755BE">
        <w:rPr>
          <w:rFonts w:hint="cs"/>
          <w:spacing w:val="-2"/>
          <w:rtl/>
          <w:lang w:bidi="ar-OM"/>
        </w:rPr>
        <w:t xml:space="preserve"> معايير الحماية بهدف ضمان الشغيل الآمن لأنظمة الطائرات بدون طيار وتحديدا حماية وصلات </w:t>
      </w:r>
      <w:r w:rsidRPr="003755BE">
        <w:rPr>
          <w:spacing w:val="-2"/>
          <w:lang w:bidi="ar-OM"/>
        </w:rPr>
        <w:t>UAS CNPC</w:t>
      </w:r>
      <w:r w:rsidRPr="003755BE">
        <w:rPr>
          <w:rFonts w:hint="cs"/>
          <w:spacing w:val="-2"/>
          <w:rtl/>
          <w:lang w:bidi="ar-OM"/>
        </w:rPr>
        <w:t xml:space="preserve"> من الخدمات القائمة كون </w:t>
      </w:r>
      <w:r w:rsidR="00EC3F88" w:rsidRPr="003755BE">
        <w:rPr>
          <w:rFonts w:hint="cs"/>
          <w:spacing w:val="-2"/>
          <w:rtl/>
          <w:lang w:bidi="ar-OM"/>
        </w:rPr>
        <w:t>استعمال</w:t>
      </w:r>
      <w:r w:rsidRPr="003755BE">
        <w:rPr>
          <w:rFonts w:hint="cs"/>
          <w:spacing w:val="-2"/>
          <w:rtl/>
          <w:lang w:bidi="ar-OM"/>
        </w:rPr>
        <w:t xml:space="preserve"> هذه الوصلات يندرج في إطار خدمات السلامة وفق أحكام الرقم</w:t>
      </w:r>
      <w:r w:rsidR="00EC3F88" w:rsidRPr="003755BE">
        <w:rPr>
          <w:rFonts w:hint="cs"/>
          <w:spacing w:val="-2"/>
          <w:rtl/>
          <w:lang w:bidi="ar-OM"/>
        </w:rPr>
        <w:t xml:space="preserve"> </w:t>
      </w:r>
      <w:r w:rsidRPr="003755BE">
        <w:rPr>
          <w:b/>
          <w:bCs/>
          <w:spacing w:val="-2"/>
          <w:lang w:bidi="ar-OM"/>
        </w:rPr>
        <w:t>10</w:t>
      </w:r>
      <w:r w:rsidR="00EC3F88" w:rsidRPr="003755BE">
        <w:rPr>
          <w:b/>
          <w:bCs/>
          <w:spacing w:val="-2"/>
          <w:lang w:bidi="ar-OM"/>
        </w:rPr>
        <w:t>.4</w:t>
      </w:r>
      <w:r w:rsidRPr="003755BE">
        <w:rPr>
          <w:rFonts w:hint="cs"/>
          <w:spacing w:val="-2"/>
          <w:rtl/>
          <w:lang w:bidi="ar-OM"/>
        </w:rPr>
        <w:t xml:space="preserve"> من لوائح الراديو. وبالتالي فإن تحقيق متطلبات أحكام الرقم </w:t>
      </w:r>
      <w:r w:rsidRPr="003755BE">
        <w:rPr>
          <w:b/>
          <w:bCs/>
          <w:spacing w:val="-2"/>
          <w:lang w:bidi="ar-OM"/>
        </w:rPr>
        <w:t>10</w:t>
      </w:r>
      <w:r w:rsidR="00EC3F88" w:rsidRPr="003755BE">
        <w:rPr>
          <w:b/>
          <w:bCs/>
          <w:spacing w:val="-2"/>
          <w:lang w:bidi="ar-OM"/>
        </w:rPr>
        <w:t>.4</w:t>
      </w:r>
      <w:r w:rsidRPr="003755BE">
        <w:rPr>
          <w:rFonts w:hint="cs"/>
          <w:spacing w:val="-2"/>
          <w:rtl/>
          <w:lang w:bidi="ar-OM"/>
        </w:rPr>
        <w:t xml:space="preserve"> من لوائح الراديو غير واضح.</w:t>
      </w:r>
    </w:p>
    <w:p w:rsidR="002E2960" w:rsidRDefault="0073166F" w:rsidP="0073166F">
      <w:pPr>
        <w:rPr>
          <w:rtl/>
          <w:lang w:bidi="ar-OM"/>
        </w:rPr>
      </w:pPr>
      <w:r>
        <w:rPr>
          <w:rFonts w:hint="cs"/>
          <w:rtl/>
          <w:lang w:bidi="ar-OM"/>
        </w:rPr>
        <w:t>وبناءً</w:t>
      </w:r>
      <w:r w:rsidR="002E2960">
        <w:rPr>
          <w:rFonts w:hint="cs"/>
          <w:rtl/>
          <w:lang w:bidi="ar-OM"/>
        </w:rPr>
        <w:t xml:space="preserve"> على جميع ما ذكر أعلاه، يوجد قدر كبير من العقبات التقنية والتشغيلية والتنظيمية </w:t>
      </w:r>
      <w:r>
        <w:rPr>
          <w:rFonts w:hint="cs"/>
          <w:rtl/>
          <w:lang w:bidi="ar-OM"/>
        </w:rPr>
        <w:t>لاستعمال</w:t>
      </w:r>
      <w:r w:rsidR="002E2960">
        <w:rPr>
          <w:rFonts w:hint="cs"/>
          <w:rtl/>
          <w:lang w:bidi="ar-OM"/>
        </w:rPr>
        <w:t xml:space="preserve"> الخدمة الثابتة الساتلية من أجل الوصلات </w:t>
      </w:r>
      <w:r w:rsidR="002E2960">
        <w:rPr>
          <w:lang w:bidi="ar-OM"/>
        </w:rPr>
        <w:t>UAS CNPC</w:t>
      </w:r>
      <w:r w:rsidR="002E2960">
        <w:rPr>
          <w:rFonts w:hint="cs"/>
          <w:rtl/>
          <w:lang w:bidi="ar-OM"/>
        </w:rPr>
        <w:t xml:space="preserve">. وعلاوة على ذلك، يمكن للتوزيعات الحالية للخدمات </w:t>
      </w:r>
      <w:r w:rsidR="002E2960">
        <w:rPr>
          <w:lang w:bidi="ar-OM"/>
        </w:rPr>
        <w:t>AMS(R)S</w:t>
      </w:r>
      <w:r w:rsidR="002E2960">
        <w:rPr>
          <w:rFonts w:hint="cs"/>
          <w:rtl/>
          <w:lang w:bidi="ar-OM"/>
        </w:rPr>
        <w:t xml:space="preserve"> و</w:t>
      </w:r>
      <w:r w:rsidR="002E2960">
        <w:rPr>
          <w:lang w:bidi="ar-OM"/>
        </w:rPr>
        <w:t>AMSS</w:t>
      </w:r>
      <w:r w:rsidR="002E2960">
        <w:rPr>
          <w:rFonts w:hint="cs"/>
          <w:rtl/>
          <w:lang w:bidi="ar-OM"/>
        </w:rPr>
        <w:t xml:space="preserve"> و</w:t>
      </w:r>
      <w:r w:rsidR="002E2960">
        <w:rPr>
          <w:lang w:bidi="ar-OM"/>
        </w:rPr>
        <w:t>MSS</w:t>
      </w:r>
      <w:r w:rsidR="002E2960">
        <w:rPr>
          <w:rFonts w:hint="cs"/>
          <w:rtl/>
          <w:lang w:bidi="ar-OM"/>
        </w:rPr>
        <w:t xml:space="preserve"> تحت ظروف معينة أن تفي بمتطلبات </w:t>
      </w:r>
      <w:r w:rsidR="002E2960">
        <w:rPr>
          <w:lang w:bidi="ar-OM"/>
        </w:rPr>
        <w:t>UAS CNPC</w:t>
      </w:r>
      <w:r w:rsidR="002E2960">
        <w:rPr>
          <w:rFonts w:hint="cs"/>
          <w:rtl/>
          <w:lang w:bidi="ar-OM"/>
        </w:rPr>
        <w:t xml:space="preserve"> في نطاقات التردد لهذه الخدمات.</w:t>
      </w:r>
    </w:p>
    <w:p w:rsidR="002E2960" w:rsidRPr="00455522" w:rsidRDefault="002E2960" w:rsidP="0073166F">
      <w:pPr>
        <w:pStyle w:val="Headingb"/>
        <w:rPr>
          <w:rtl/>
        </w:rPr>
      </w:pPr>
      <w:r w:rsidRPr="00455522">
        <w:rPr>
          <w:rFonts w:hint="cs"/>
          <w:rtl/>
        </w:rPr>
        <w:t>المقترح</w:t>
      </w:r>
      <w:r w:rsidR="0073166F">
        <w:rPr>
          <w:rFonts w:hint="cs"/>
          <w:rtl/>
        </w:rPr>
        <w:t>ات</w:t>
      </w:r>
    </w:p>
    <w:p w:rsidR="002E2960" w:rsidRDefault="002E2960" w:rsidP="0073166F">
      <w:pPr>
        <w:rPr>
          <w:lang w:bidi="ar-OM"/>
        </w:rPr>
      </w:pPr>
      <w:r>
        <w:rPr>
          <w:rFonts w:hint="cs"/>
          <w:rtl/>
          <w:lang w:bidi="ar-OM"/>
        </w:rPr>
        <w:t>بناء</w:t>
      </w:r>
      <w:r w:rsidR="0073166F">
        <w:rPr>
          <w:rFonts w:hint="cs"/>
          <w:rtl/>
          <w:lang w:bidi="ar-EG"/>
        </w:rPr>
        <w:t>ً</w:t>
      </w:r>
      <w:r>
        <w:rPr>
          <w:rFonts w:hint="cs"/>
          <w:rtl/>
          <w:lang w:bidi="ar-OM"/>
        </w:rPr>
        <w:t xml:space="preserve"> على نتائج دراسات قطاع ال</w:t>
      </w:r>
      <w:r w:rsidR="0073166F">
        <w:rPr>
          <w:rFonts w:hint="cs"/>
          <w:rtl/>
          <w:lang w:bidi="ar-OM"/>
        </w:rPr>
        <w:t>ا</w:t>
      </w:r>
      <w:r>
        <w:rPr>
          <w:rFonts w:hint="cs"/>
          <w:rtl/>
          <w:lang w:bidi="ar-OM"/>
        </w:rPr>
        <w:t>تصالات الراديوية فإن إدارات الدول العربية تقترح التالي:</w:t>
      </w:r>
    </w:p>
    <w:p w:rsidR="009F37C9" w:rsidRDefault="00C324D8" w:rsidP="008A6056">
      <w:pPr>
        <w:pStyle w:val="ArtNo"/>
        <w:rPr>
          <w:rtl/>
        </w:rPr>
      </w:pPr>
      <w:r>
        <w:rPr>
          <w:rtl/>
        </w:rPr>
        <w:t xml:space="preserve">المـادة </w:t>
      </w:r>
      <w:r w:rsidRPr="002E2960">
        <w:rPr>
          <w:rStyle w:val="href"/>
        </w:rPr>
        <w:t>5</w:t>
      </w:r>
    </w:p>
    <w:p w:rsidR="009F37C9" w:rsidRPr="007031A9" w:rsidRDefault="00C324D8" w:rsidP="009F37C9">
      <w:pPr>
        <w:pStyle w:val="Arttitle"/>
        <w:rPr>
          <w:b w:val="0"/>
          <w:rtl/>
        </w:rPr>
      </w:pPr>
      <w:bookmarkStart w:id="2" w:name="_Toc331055733"/>
      <w:r w:rsidRPr="007031A9">
        <w:rPr>
          <w:b w:val="0"/>
          <w:rtl/>
        </w:rPr>
        <w:t>توزيع نطاقات التردد</w:t>
      </w:r>
      <w:bookmarkEnd w:id="2"/>
    </w:p>
    <w:p w:rsidR="00F503D8" w:rsidRDefault="00C324D8">
      <w:pPr>
        <w:pStyle w:val="Proposal"/>
      </w:pPr>
      <w:r>
        <w:rPr>
          <w:u w:val="single"/>
        </w:rPr>
        <w:t>NOC</w:t>
      </w:r>
      <w:r>
        <w:tab/>
        <w:t>ARB/</w:t>
      </w:r>
      <w:r w:rsidRPr="002E2960">
        <w:t>25</w:t>
      </w:r>
      <w:r>
        <w:t>A</w:t>
      </w:r>
      <w:r w:rsidRPr="002E2960">
        <w:t>5</w:t>
      </w:r>
      <w:r>
        <w:t>/</w:t>
      </w:r>
      <w:r w:rsidRPr="002E2960">
        <w:t>1</w:t>
      </w:r>
    </w:p>
    <w:p w:rsidR="009F37C9" w:rsidRDefault="00C324D8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2E2960">
        <w:rPr>
          <w:sz w:val="22"/>
          <w:szCs w:val="30"/>
        </w:rPr>
        <w:t>1</w:t>
      </w:r>
      <w:r w:rsidRPr="00E25FCC">
        <w:rPr>
          <w:sz w:val="22"/>
          <w:szCs w:val="30"/>
        </w:rPr>
        <w:t>.</w:t>
      </w:r>
      <w:r w:rsidRPr="002E2960">
        <w:rPr>
          <w:sz w:val="22"/>
          <w:szCs w:val="30"/>
        </w:rPr>
        <w:t>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F503D8" w:rsidRPr="0073166F" w:rsidRDefault="00C324D8" w:rsidP="0073166F">
      <w:pPr>
        <w:pStyle w:val="Reasons"/>
        <w:rPr>
          <w:b w:val="0"/>
          <w:bCs w:val="0"/>
          <w:lang w:bidi="ar-OM"/>
        </w:rPr>
      </w:pPr>
      <w:r>
        <w:rPr>
          <w:rtl/>
        </w:rPr>
        <w:t>الأسباب:</w:t>
      </w:r>
      <w:r>
        <w:tab/>
      </w:r>
      <w:r w:rsidR="002E2960" w:rsidRPr="0073166F">
        <w:rPr>
          <w:rFonts w:hint="cs"/>
          <w:b w:val="0"/>
          <w:bCs w:val="0"/>
          <w:rtl/>
        </w:rPr>
        <w:t>نظرا</w:t>
      </w:r>
      <w:r w:rsidR="0073166F">
        <w:rPr>
          <w:rFonts w:hint="cs"/>
          <w:b w:val="0"/>
          <w:bCs w:val="0"/>
          <w:rtl/>
        </w:rPr>
        <w:t>ً</w:t>
      </w:r>
      <w:r w:rsidR="002E2960" w:rsidRPr="0073166F">
        <w:rPr>
          <w:rFonts w:hint="cs"/>
          <w:b w:val="0"/>
          <w:bCs w:val="0"/>
          <w:rtl/>
        </w:rPr>
        <w:t xml:space="preserve"> للقدر الكبير من العقبات التقنية والتشغيلية والتنظيمية </w:t>
      </w:r>
      <w:r w:rsidR="0073166F" w:rsidRPr="0073166F">
        <w:rPr>
          <w:rFonts w:hint="cs"/>
          <w:b w:val="0"/>
          <w:bCs w:val="0"/>
          <w:rtl/>
        </w:rPr>
        <w:t>لاستعمال</w:t>
      </w:r>
      <w:r w:rsidR="002E2960" w:rsidRPr="0073166F">
        <w:rPr>
          <w:rFonts w:hint="cs"/>
          <w:b w:val="0"/>
          <w:bCs w:val="0"/>
          <w:rtl/>
        </w:rPr>
        <w:t xml:space="preserve"> الخدمة </w:t>
      </w:r>
      <w:r w:rsidR="0073166F">
        <w:rPr>
          <w:rFonts w:hint="cs"/>
          <w:b w:val="0"/>
          <w:bCs w:val="0"/>
          <w:rtl/>
        </w:rPr>
        <w:t>الثابتة الساتلية من أجل الوصلات</w:t>
      </w:r>
      <w:r w:rsidR="0073166F">
        <w:rPr>
          <w:rFonts w:hint="eastAsia"/>
          <w:b w:val="0"/>
          <w:bCs w:val="0"/>
          <w:rtl/>
        </w:rPr>
        <w:t> </w:t>
      </w:r>
      <w:r w:rsidR="002E2960" w:rsidRPr="0073166F">
        <w:rPr>
          <w:b w:val="0"/>
          <w:bCs w:val="0"/>
        </w:rPr>
        <w:t>UAS CNPC</w:t>
      </w:r>
      <w:r w:rsidR="002E2960" w:rsidRPr="0073166F">
        <w:rPr>
          <w:rFonts w:hint="cs"/>
          <w:b w:val="0"/>
          <w:bCs w:val="0"/>
          <w:rtl/>
        </w:rPr>
        <w:t xml:space="preserve">. وعلاوة على ذلك، يمكن للتوزيعات الحالية للخدمات </w:t>
      </w:r>
      <w:r w:rsidR="002E2960" w:rsidRPr="0073166F">
        <w:rPr>
          <w:b w:val="0"/>
          <w:bCs w:val="0"/>
        </w:rPr>
        <w:t>AMS(R)S</w:t>
      </w:r>
      <w:r w:rsidR="002E2960" w:rsidRPr="0073166F">
        <w:rPr>
          <w:rFonts w:hint="cs"/>
          <w:b w:val="0"/>
          <w:bCs w:val="0"/>
          <w:rtl/>
        </w:rPr>
        <w:t xml:space="preserve"> و</w:t>
      </w:r>
      <w:r w:rsidR="002E2960" w:rsidRPr="0073166F">
        <w:rPr>
          <w:b w:val="0"/>
          <w:bCs w:val="0"/>
        </w:rPr>
        <w:t>AMSS</w:t>
      </w:r>
      <w:r w:rsidR="002E2960" w:rsidRPr="0073166F">
        <w:rPr>
          <w:rFonts w:hint="cs"/>
          <w:b w:val="0"/>
          <w:bCs w:val="0"/>
          <w:rtl/>
        </w:rPr>
        <w:t xml:space="preserve"> و</w:t>
      </w:r>
      <w:r w:rsidR="002E2960" w:rsidRPr="0073166F">
        <w:rPr>
          <w:b w:val="0"/>
          <w:bCs w:val="0"/>
        </w:rPr>
        <w:t>MSS</w:t>
      </w:r>
      <w:r w:rsidR="002E2960" w:rsidRPr="0073166F">
        <w:rPr>
          <w:rFonts w:hint="cs"/>
          <w:b w:val="0"/>
          <w:bCs w:val="0"/>
          <w:rtl/>
        </w:rPr>
        <w:t xml:space="preserve"> تحت ظروف معينة أن تفي بمتطلبات </w:t>
      </w:r>
      <w:r w:rsidR="002E2960" w:rsidRPr="0073166F">
        <w:rPr>
          <w:b w:val="0"/>
          <w:bCs w:val="0"/>
        </w:rPr>
        <w:t>UAS CNPC</w:t>
      </w:r>
      <w:r w:rsidR="002E2960" w:rsidRPr="0073166F">
        <w:rPr>
          <w:rFonts w:hint="cs"/>
          <w:b w:val="0"/>
          <w:bCs w:val="0"/>
          <w:rtl/>
        </w:rPr>
        <w:t xml:space="preserve"> في نطاقات التردد لهذه الخدمات.</w:t>
      </w:r>
    </w:p>
    <w:p w:rsidR="00F503D8" w:rsidRDefault="00C324D8">
      <w:pPr>
        <w:pStyle w:val="Proposal"/>
      </w:pPr>
      <w:r>
        <w:t>SUP</w:t>
      </w:r>
      <w:r>
        <w:tab/>
        <w:t>ARB/</w:t>
      </w:r>
      <w:r w:rsidRPr="002E2960">
        <w:t>25</w:t>
      </w:r>
      <w:r>
        <w:t>A</w:t>
      </w:r>
      <w:r w:rsidRPr="002E2960">
        <w:t>5</w:t>
      </w:r>
      <w:r>
        <w:t>/</w:t>
      </w:r>
      <w:r w:rsidRPr="002E2960">
        <w:t>2</w:t>
      </w:r>
    </w:p>
    <w:p w:rsidR="00622532" w:rsidRPr="00867A17" w:rsidRDefault="00C324D8" w:rsidP="00622532">
      <w:pPr>
        <w:pStyle w:val="ResNo"/>
        <w:rPr>
          <w:rtl/>
        </w:rPr>
      </w:pPr>
      <w:bookmarkStart w:id="3" w:name="_Toc327956609"/>
      <w:r w:rsidRPr="00867A17">
        <w:rPr>
          <w:rFonts w:hint="cs"/>
          <w:rtl/>
        </w:rPr>
        <w:t>الق</w:t>
      </w:r>
      <w:r>
        <w:rPr>
          <w:rFonts w:hint="cs"/>
          <w:rtl/>
        </w:rPr>
        <w:t>ـ</w:t>
      </w:r>
      <w:r w:rsidRPr="00867A17">
        <w:rPr>
          <w:rFonts w:hint="cs"/>
          <w:rtl/>
        </w:rPr>
        <w:t xml:space="preserve">رار </w:t>
      </w:r>
      <w:r w:rsidRPr="002E2960">
        <w:rPr>
          <w:rStyle w:val="href"/>
        </w:rPr>
        <w:t>153</w:t>
      </w:r>
      <w:r>
        <w:t> </w:t>
      </w:r>
      <w:r w:rsidRPr="00AB31CC">
        <w:t>(WRC</w:t>
      </w:r>
      <w:r>
        <w:noBreakHyphen/>
      </w:r>
      <w:r w:rsidRPr="002E2960">
        <w:t>12</w:t>
      </w:r>
      <w:r w:rsidRPr="00AB31CC">
        <w:t>)</w:t>
      </w:r>
      <w:bookmarkEnd w:id="3"/>
    </w:p>
    <w:p w:rsidR="00622532" w:rsidRPr="008603F9" w:rsidRDefault="00C324D8" w:rsidP="0073166F">
      <w:pPr>
        <w:pStyle w:val="Restitle"/>
        <w:rPr>
          <w:rtl/>
        </w:rPr>
      </w:pPr>
      <w:bookmarkStart w:id="4" w:name="_Toc327956610"/>
      <w:r w:rsidRPr="008603F9">
        <w:rPr>
          <w:rFonts w:hint="cs"/>
          <w:rtl/>
        </w:rPr>
        <w:t xml:space="preserve">استعمال نطاقات التردد الموزعة للخدمة الثابتة الساتلية </w:t>
      </w:r>
      <w:r>
        <w:rPr>
          <w:rtl/>
        </w:rPr>
        <w:br/>
      </w:r>
      <w:r w:rsidRPr="008603F9">
        <w:rPr>
          <w:rFonts w:hint="cs"/>
          <w:rtl/>
        </w:rPr>
        <w:t>التي لا تخضع</w:t>
      </w:r>
      <w:r>
        <w:rPr>
          <w:rFonts w:hint="cs"/>
          <w:rtl/>
        </w:rPr>
        <w:t xml:space="preserve"> </w:t>
      </w:r>
      <w:r w:rsidRPr="008603F9">
        <w:rPr>
          <w:rFonts w:hint="cs"/>
          <w:rtl/>
        </w:rPr>
        <w:t xml:space="preserve">للتذييلات </w:t>
      </w:r>
      <w:r w:rsidRPr="002E2960">
        <w:t>30</w:t>
      </w:r>
      <w:r w:rsidRPr="008603F9">
        <w:rPr>
          <w:rFonts w:hint="cs"/>
          <w:rtl/>
        </w:rPr>
        <w:t xml:space="preserve"> و</w:t>
      </w:r>
      <w:r w:rsidRPr="002E2960">
        <w:t>30</w:t>
      </w:r>
      <w:r w:rsidRPr="008603F9">
        <w:t>A</w:t>
      </w:r>
      <w:r w:rsidRPr="008603F9">
        <w:rPr>
          <w:rFonts w:hint="cs"/>
          <w:rtl/>
        </w:rPr>
        <w:t xml:space="preserve"> و</w:t>
      </w:r>
      <w:r w:rsidRPr="002E2960">
        <w:t>30</w:t>
      </w:r>
      <w:r w:rsidRPr="008603F9">
        <w:t>B</w:t>
      </w:r>
      <w:r w:rsidRPr="008603F9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 أجل </w:t>
      </w:r>
      <w:r w:rsidRPr="00894887">
        <w:rPr>
          <w:rFonts w:hint="cs"/>
          <w:rtl/>
        </w:rPr>
        <w:t>اتصالات المراقبة</w:t>
      </w:r>
      <w:r>
        <w:rPr>
          <w:rtl/>
        </w:rPr>
        <w:br/>
      </w:r>
      <w:r w:rsidRPr="00894887">
        <w:rPr>
          <w:rFonts w:hint="cs"/>
          <w:rtl/>
        </w:rPr>
        <w:t>والاتصالات خارج الحمولة</w:t>
      </w:r>
      <w:r>
        <w:rPr>
          <w:rFonts w:hint="cs"/>
          <w:rtl/>
        </w:rPr>
        <w:t xml:space="preserve"> </w:t>
      </w:r>
      <w:r w:rsidRPr="00894887">
        <w:rPr>
          <w:rFonts w:hint="cs"/>
          <w:rtl/>
        </w:rPr>
        <w:t>النافعة لأنظمة الطائرات دون طيار</w:t>
      </w:r>
      <w:r>
        <w:rPr>
          <w:rtl/>
        </w:rPr>
        <w:br/>
      </w:r>
      <w:r w:rsidRPr="00894887">
        <w:rPr>
          <w:rFonts w:hint="cs"/>
          <w:rtl/>
        </w:rPr>
        <w:t>في الفضاء الجوي</w:t>
      </w:r>
      <w:r w:rsidRPr="008603F9">
        <w:rPr>
          <w:rFonts w:hint="cs"/>
          <w:rtl/>
        </w:rPr>
        <w:t xml:space="preserve"> غير </w:t>
      </w:r>
      <w:r>
        <w:rPr>
          <w:rFonts w:hint="cs"/>
          <w:rtl/>
        </w:rPr>
        <w:t>المحجوز</w:t>
      </w:r>
      <w:bookmarkEnd w:id="4"/>
    </w:p>
    <w:p w:rsidR="00F503D8" w:rsidRDefault="00C324D8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2E2960">
        <w:rPr>
          <w:rFonts w:hint="cs"/>
          <w:b w:val="0"/>
          <w:bCs w:val="0"/>
          <w:rtl/>
        </w:rPr>
        <w:t>لا حاجة لهذا القرار.</w:t>
      </w:r>
    </w:p>
    <w:p w:rsidR="0073166F" w:rsidRPr="0073166F" w:rsidRDefault="0073166F" w:rsidP="0073166F">
      <w:pPr>
        <w:spacing w:before="600"/>
        <w:jc w:val="center"/>
      </w:pPr>
      <w:r>
        <w:rPr>
          <w:rFonts w:hint="cs"/>
          <w:rtl/>
        </w:rPr>
        <w:t>__________</w:t>
      </w:r>
    </w:p>
    <w:sectPr w:rsidR="0073166F" w:rsidRPr="0073166F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2E2960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E74523">
      <w:rPr>
        <w:noProof/>
        <w:lang w:val="es-ES"/>
      </w:rPr>
      <w:t>P:\ARA\ITU-R\CONF-R\CMR15\000\</w:t>
    </w:r>
    <w:r w:rsidR="00E74523" w:rsidRPr="00E74523">
      <w:rPr>
        <w:noProof/>
      </w:rPr>
      <w:t>025ADD05A.docx</w:t>
    </w:r>
    <w:r w:rsidRPr="00CB4300">
      <w:fldChar w:fldCharType="end"/>
    </w:r>
    <w:r w:rsidR="002E2960">
      <w:t xml:space="preserve"> </w:t>
    </w:r>
    <w:r w:rsidRPr="00CB4300">
      <w:rPr>
        <w:lang w:val="es-ES"/>
      </w:rPr>
      <w:t xml:space="preserve">  (</w:t>
    </w:r>
    <w:r w:rsidR="002E2960" w:rsidRPr="002E2960">
      <w:t>386855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E74523">
      <w:rPr>
        <w:noProof/>
      </w:rPr>
      <w:t>22.09.15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E74523">
      <w:rPr>
        <w:noProof/>
      </w:rPr>
      <w:t>21.09.15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2E2960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E74523">
      <w:rPr>
        <w:noProof/>
        <w:lang w:val="es-ES"/>
      </w:rPr>
      <w:t>P:\ARA\ITU-R\CONF-R\CMR15\000\</w:t>
    </w:r>
    <w:r w:rsidR="00E74523" w:rsidRPr="00E74523">
      <w:rPr>
        <w:noProof/>
      </w:rPr>
      <w:t>025ADD05A.docx</w:t>
    </w:r>
    <w:r>
      <w:fldChar w:fldCharType="end"/>
    </w:r>
    <w:r w:rsidRPr="00CB4300">
      <w:rPr>
        <w:lang w:val="es-ES"/>
      </w:rPr>
      <w:t xml:space="preserve">   (</w:t>
    </w:r>
    <w:r w:rsidR="002E2960" w:rsidRPr="002E2960">
      <w:t>386855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E74523">
      <w:rPr>
        <w:noProof/>
      </w:rPr>
      <w:t>22.09.15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E74523">
      <w:rPr>
        <w:noProof/>
      </w:rPr>
      <w:t>21.09.15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A1528E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2E2960">
      <w:rPr>
        <w:rStyle w:val="PageNumber"/>
      </w:rPr>
      <w:t>1</w:t>
    </w:r>
    <w:r w:rsidR="00461FA7" w:rsidRPr="002E2960">
      <w:rPr>
        <w:rStyle w:val="PageNumber"/>
      </w:rPr>
      <w:t>5</w:t>
    </w:r>
    <w:r w:rsidRPr="0088384B">
      <w:rPr>
        <w:rStyle w:val="PageNumber"/>
      </w:rPr>
      <w:t>/</w:t>
    </w:r>
    <w:r w:rsidR="00554AE7" w:rsidRPr="002E2960">
      <w:rPr>
        <w:rStyle w:val="PageNumber"/>
      </w:rPr>
      <w:t>25</w:t>
    </w:r>
    <w:r w:rsidR="00554AE7">
      <w:rPr>
        <w:rStyle w:val="PageNumber"/>
      </w:rPr>
      <w:t>(Add.</w:t>
    </w:r>
    <w:r w:rsidR="00554AE7" w:rsidRPr="002E2960">
      <w:rPr>
        <w:rStyle w:val="PageNumber"/>
      </w:rPr>
      <w:t>5</w:t>
    </w:r>
    <w:r w:rsidR="00554AE7">
      <w:rPr>
        <w:rStyle w:val="PageNumber"/>
      </w:rPr>
      <w:t>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2960"/>
    <w:rsid w:val="002E48BF"/>
    <w:rsid w:val="002E61C2"/>
    <w:rsid w:val="0033737F"/>
    <w:rsid w:val="00353652"/>
    <w:rsid w:val="003569E1"/>
    <w:rsid w:val="003755BE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84A5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47EBB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166F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1679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662EA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1528E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14673"/>
    <w:rsid w:val="00C22074"/>
    <w:rsid w:val="00C2377B"/>
    <w:rsid w:val="00C324D8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E6B7D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4523"/>
    <w:rsid w:val="00E77D29"/>
    <w:rsid w:val="00E833BC"/>
    <w:rsid w:val="00E8580E"/>
    <w:rsid w:val="00EA1B76"/>
    <w:rsid w:val="00EA77D7"/>
    <w:rsid w:val="00EC09B9"/>
    <w:rsid w:val="00EC3F88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503D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3D3170A9-166D-4675-893B-694341BE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R15-WRC15-C-0025!A5!MSW-A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5AD9-5A37-4D64-960C-2B404008E78F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996b2e75-67fd-4955-a3b0-5ab9934cb50b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FCC61E-35A3-4EBB-B6CB-95F0B311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R15-WRC15-C-0025!A5!MSW-A</vt:lpstr>
    </vt:vector>
  </TitlesOfParts>
  <Manager>General Secretariat - Pool</Manager>
  <Company>International Telecommunication Union (ITU)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R15-WRC15-C-0025!A5!MSW-A</dc:title>
  <dc:creator>Documents Proposals Manager (DPM)</dc:creator>
  <cp:keywords>DPM_v5.2015.9.16_prod</cp:keywords>
  <cp:lastModifiedBy>Riz, Imad </cp:lastModifiedBy>
  <cp:revision>8</cp:revision>
  <cp:lastPrinted>2015-09-21T15:08:00Z</cp:lastPrinted>
  <dcterms:created xsi:type="dcterms:W3CDTF">2015-09-22T14:36:00Z</dcterms:created>
  <dcterms:modified xsi:type="dcterms:W3CDTF">2015-09-22T14:52:00Z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