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73"/>
        <w:gridCol w:w="3158"/>
      </w:tblGrid>
      <w:tr w:rsidR="0090121B" w:rsidRPr="005D72A9" w:rsidTr="00E80303">
        <w:trPr>
          <w:cantSplit/>
        </w:trPr>
        <w:tc>
          <w:tcPr>
            <w:tcW w:w="6873" w:type="dxa"/>
          </w:tcPr>
          <w:p w:rsidR="0090121B" w:rsidRPr="005D72A9" w:rsidRDefault="005D46FB" w:rsidP="0002785D">
            <w:pPr>
              <w:spacing w:before="400" w:after="48" w:line="240" w:lineRule="atLeast"/>
              <w:rPr>
                <w:rFonts w:ascii="Verdana" w:hAnsi="Verdana"/>
                <w:position w:val="6"/>
              </w:rPr>
            </w:pPr>
            <w:r w:rsidRPr="005D72A9">
              <w:rPr>
                <w:rFonts w:ascii="Verdana" w:hAnsi="Verdana" w:cs="Times"/>
                <w:b/>
                <w:position w:val="6"/>
                <w:sz w:val="20"/>
              </w:rPr>
              <w:t>Conferencia Mundial de Radiocomunicaciones (CMR-15)</w:t>
            </w:r>
            <w:r w:rsidRPr="005D72A9">
              <w:rPr>
                <w:rFonts w:ascii="Verdana" w:hAnsi="Verdana" w:cs="Times"/>
                <w:b/>
                <w:position w:val="6"/>
                <w:sz w:val="20"/>
              </w:rPr>
              <w:br/>
            </w:r>
            <w:r w:rsidRPr="005D72A9">
              <w:rPr>
                <w:rFonts w:ascii="Verdana" w:hAnsi="Verdana"/>
                <w:b/>
                <w:bCs/>
                <w:position w:val="6"/>
                <w:sz w:val="18"/>
                <w:szCs w:val="18"/>
              </w:rPr>
              <w:t>Ginebra, 2-27 de noviembre de 2015</w:t>
            </w:r>
          </w:p>
        </w:tc>
        <w:tc>
          <w:tcPr>
            <w:tcW w:w="3158" w:type="dxa"/>
          </w:tcPr>
          <w:p w:rsidR="0090121B" w:rsidRPr="005D72A9" w:rsidRDefault="00CE7431" w:rsidP="00CE7431">
            <w:pPr>
              <w:spacing w:before="0" w:line="240" w:lineRule="atLeast"/>
              <w:jc w:val="right"/>
            </w:pPr>
            <w:bookmarkStart w:id="0" w:name="ditulogo"/>
            <w:bookmarkEnd w:id="0"/>
            <w:r w:rsidRPr="005D72A9">
              <w:rPr>
                <w:noProof/>
                <w:lang w:val="en-US" w:eastAsia="zh-CN"/>
              </w:rPr>
              <w:drawing>
                <wp:inline distT="0" distB="0" distL="0" distR="0" wp14:anchorId="66971F96" wp14:editId="4EA39C2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5D72A9" w:rsidTr="00E80303">
        <w:trPr>
          <w:cantSplit/>
        </w:trPr>
        <w:tc>
          <w:tcPr>
            <w:tcW w:w="6873" w:type="dxa"/>
            <w:tcBorders>
              <w:bottom w:val="single" w:sz="12" w:space="0" w:color="auto"/>
            </w:tcBorders>
          </w:tcPr>
          <w:p w:rsidR="0090121B" w:rsidRPr="005D72A9" w:rsidRDefault="00CE7431" w:rsidP="0090121B">
            <w:pPr>
              <w:spacing w:before="0" w:after="48" w:line="240" w:lineRule="atLeast"/>
              <w:rPr>
                <w:b/>
                <w:smallCaps/>
                <w:szCs w:val="24"/>
              </w:rPr>
            </w:pPr>
            <w:bookmarkStart w:id="1" w:name="dhead"/>
            <w:r w:rsidRPr="005D72A9">
              <w:rPr>
                <w:rFonts w:ascii="Verdana" w:hAnsi="Verdana"/>
                <w:b/>
                <w:smallCaps/>
                <w:sz w:val="20"/>
              </w:rPr>
              <w:t>UNIÓN INTERNACIONAL DE TELECOMUNICACIONES</w:t>
            </w:r>
          </w:p>
        </w:tc>
        <w:tc>
          <w:tcPr>
            <w:tcW w:w="3158" w:type="dxa"/>
            <w:tcBorders>
              <w:bottom w:val="single" w:sz="12" w:space="0" w:color="auto"/>
            </w:tcBorders>
          </w:tcPr>
          <w:p w:rsidR="0090121B" w:rsidRPr="005D72A9" w:rsidRDefault="0090121B" w:rsidP="0090121B">
            <w:pPr>
              <w:spacing w:before="0" w:line="240" w:lineRule="atLeast"/>
              <w:rPr>
                <w:rFonts w:ascii="Verdana" w:hAnsi="Verdana"/>
                <w:szCs w:val="24"/>
              </w:rPr>
            </w:pPr>
          </w:p>
        </w:tc>
      </w:tr>
      <w:tr w:rsidR="0090121B" w:rsidRPr="005D72A9" w:rsidTr="00E80303">
        <w:trPr>
          <w:cantSplit/>
        </w:trPr>
        <w:tc>
          <w:tcPr>
            <w:tcW w:w="6873" w:type="dxa"/>
            <w:tcBorders>
              <w:top w:val="single" w:sz="12" w:space="0" w:color="auto"/>
            </w:tcBorders>
          </w:tcPr>
          <w:p w:rsidR="0090121B" w:rsidRPr="005D72A9" w:rsidRDefault="0090121B" w:rsidP="0090121B">
            <w:pPr>
              <w:spacing w:before="0" w:after="48" w:line="240" w:lineRule="atLeast"/>
              <w:rPr>
                <w:rFonts w:ascii="Verdana" w:hAnsi="Verdana"/>
                <w:b/>
                <w:smallCaps/>
                <w:sz w:val="20"/>
              </w:rPr>
            </w:pPr>
          </w:p>
        </w:tc>
        <w:tc>
          <w:tcPr>
            <w:tcW w:w="3158" w:type="dxa"/>
            <w:tcBorders>
              <w:top w:val="single" w:sz="12" w:space="0" w:color="auto"/>
            </w:tcBorders>
          </w:tcPr>
          <w:p w:rsidR="0090121B" w:rsidRPr="005D72A9" w:rsidRDefault="0090121B" w:rsidP="0090121B">
            <w:pPr>
              <w:spacing w:before="0" w:line="240" w:lineRule="atLeast"/>
              <w:rPr>
                <w:rFonts w:ascii="Verdana" w:hAnsi="Verdana"/>
                <w:sz w:val="20"/>
              </w:rPr>
            </w:pPr>
          </w:p>
        </w:tc>
      </w:tr>
      <w:tr w:rsidR="0090121B" w:rsidRPr="005D72A9" w:rsidTr="00E80303">
        <w:trPr>
          <w:cantSplit/>
        </w:trPr>
        <w:tc>
          <w:tcPr>
            <w:tcW w:w="6873" w:type="dxa"/>
            <w:shd w:val="clear" w:color="auto" w:fill="auto"/>
          </w:tcPr>
          <w:p w:rsidR="0090121B" w:rsidRPr="005D72A9" w:rsidRDefault="00AE658F" w:rsidP="0045384C">
            <w:pPr>
              <w:spacing w:before="0"/>
              <w:rPr>
                <w:rFonts w:ascii="Verdana" w:hAnsi="Verdana"/>
                <w:b/>
                <w:sz w:val="20"/>
              </w:rPr>
            </w:pPr>
            <w:r w:rsidRPr="005D72A9">
              <w:rPr>
                <w:rFonts w:ascii="Verdana" w:hAnsi="Verdana"/>
                <w:b/>
                <w:sz w:val="20"/>
              </w:rPr>
              <w:t>SESIÓN PLENARIA</w:t>
            </w:r>
          </w:p>
        </w:tc>
        <w:tc>
          <w:tcPr>
            <w:tcW w:w="3158" w:type="dxa"/>
            <w:shd w:val="clear" w:color="auto" w:fill="auto"/>
          </w:tcPr>
          <w:p w:rsidR="0090121B" w:rsidRPr="005D72A9" w:rsidRDefault="00AE658F" w:rsidP="0045384C">
            <w:pPr>
              <w:spacing w:before="0"/>
              <w:rPr>
                <w:rFonts w:ascii="Verdana" w:hAnsi="Verdana"/>
                <w:sz w:val="20"/>
              </w:rPr>
            </w:pPr>
            <w:r w:rsidRPr="005D72A9">
              <w:rPr>
                <w:rFonts w:ascii="Verdana" w:eastAsia="SimSun" w:hAnsi="Verdana" w:cs="Traditional Arabic"/>
                <w:b/>
                <w:sz w:val="20"/>
              </w:rPr>
              <w:t>Addéndum 26 al</w:t>
            </w:r>
            <w:r w:rsidRPr="005D72A9">
              <w:rPr>
                <w:rFonts w:ascii="Verdana" w:eastAsia="SimSun" w:hAnsi="Verdana" w:cs="Traditional Arabic"/>
                <w:b/>
                <w:sz w:val="20"/>
              </w:rPr>
              <w:br/>
              <w:t>Documento 25</w:t>
            </w:r>
            <w:r w:rsidR="0090121B" w:rsidRPr="005D72A9">
              <w:rPr>
                <w:rFonts w:ascii="Verdana" w:hAnsi="Verdana"/>
                <w:b/>
                <w:sz w:val="20"/>
              </w:rPr>
              <w:t>-</w:t>
            </w:r>
            <w:r w:rsidRPr="005D72A9">
              <w:rPr>
                <w:rFonts w:ascii="Verdana" w:hAnsi="Verdana"/>
                <w:b/>
                <w:sz w:val="20"/>
              </w:rPr>
              <w:t>S</w:t>
            </w:r>
          </w:p>
        </w:tc>
      </w:tr>
      <w:bookmarkEnd w:id="1"/>
      <w:tr w:rsidR="000A5B9A" w:rsidRPr="005D72A9" w:rsidTr="00E80303">
        <w:trPr>
          <w:cantSplit/>
        </w:trPr>
        <w:tc>
          <w:tcPr>
            <w:tcW w:w="6873" w:type="dxa"/>
            <w:shd w:val="clear" w:color="auto" w:fill="auto"/>
          </w:tcPr>
          <w:p w:rsidR="000A5B9A" w:rsidRPr="005D72A9" w:rsidRDefault="000A5B9A" w:rsidP="0045384C">
            <w:pPr>
              <w:spacing w:before="0" w:after="48"/>
              <w:rPr>
                <w:rFonts w:ascii="Verdana" w:hAnsi="Verdana"/>
                <w:b/>
                <w:smallCaps/>
                <w:sz w:val="20"/>
              </w:rPr>
            </w:pPr>
          </w:p>
        </w:tc>
        <w:tc>
          <w:tcPr>
            <w:tcW w:w="3158" w:type="dxa"/>
            <w:shd w:val="clear" w:color="auto" w:fill="auto"/>
          </w:tcPr>
          <w:p w:rsidR="000A5B9A" w:rsidRPr="005D72A9" w:rsidRDefault="000A5B9A" w:rsidP="0045384C">
            <w:pPr>
              <w:spacing w:before="0"/>
              <w:rPr>
                <w:rFonts w:ascii="Verdana" w:hAnsi="Verdana"/>
                <w:b/>
                <w:sz w:val="20"/>
              </w:rPr>
            </w:pPr>
            <w:r w:rsidRPr="005D72A9">
              <w:rPr>
                <w:rFonts w:ascii="Verdana" w:hAnsi="Verdana"/>
                <w:b/>
                <w:sz w:val="20"/>
              </w:rPr>
              <w:t>10 de septiembre de 2015</w:t>
            </w:r>
          </w:p>
        </w:tc>
      </w:tr>
      <w:tr w:rsidR="000A5B9A" w:rsidRPr="005D72A9" w:rsidTr="00E80303">
        <w:trPr>
          <w:cantSplit/>
        </w:trPr>
        <w:tc>
          <w:tcPr>
            <w:tcW w:w="6873" w:type="dxa"/>
          </w:tcPr>
          <w:p w:rsidR="000A5B9A" w:rsidRPr="005D72A9" w:rsidRDefault="000A5B9A" w:rsidP="0045384C">
            <w:pPr>
              <w:spacing w:before="0" w:after="48"/>
              <w:rPr>
                <w:rFonts w:ascii="Verdana" w:hAnsi="Verdana"/>
                <w:b/>
                <w:smallCaps/>
                <w:sz w:val="20"/>
              </w:rPr>
            </w:pPr>
          </w:p>
        </w:tc>
        <w:tc>
          <w:tcPr>
            <w:tcW w:w="3158" w:type="dxa"/>
          </w:tcPr>
          <w:p w:rsidR="000A5B9A" w:rsidRPr="005D72A9" w:rsidRDefault="000A5B9A" w:rsidP="0045384C">
            <w:pPr>
              <w:spacing w:before="0"/>
              <w:rPr>
                <w:rFonts w:ascii="Verdana" w:hAnsi="Verdana"/>
                <w:b/>
                <w:sz w:val="20"/>
              </w:rPr>
            </w:pPr>
            <w:r w:rsidRPr="005D72A9">
              <w:rPr>
                <w:rFonts w:ascii="Verdana" w:hAnsi="Verdana"/>
                <w:b/>
                <w:sz w:val="20"/>
              </w:rPr>
              <w:t>Original: árabe</w:t>
            </w:r>
          </w:p>
        </w:tc>
      </w:tr>
      <w:tr w:rsidR="000A5B9A" w:rsidRPr="005D72A9" w:rsidTr="006744FC">
        <w:trPr>
          <w:cantSplit/>
        </w:trPr>
        <w:tc>
          <w:tcPr>
            <w:tcW w:w="10031" w:type="dxa"/>
            <w:gridSpan w:val="2"/>
          </w:tcPr>
          <w:p w:rsidR="000A5B9A" w:rsidRPr="005D72A9" w:rsidRDefault="000A5B9A" w:rsidP="0045384C">
            <w:pPr>
              <w:spacing w:before="0"/>
              <w:rPr>
                <w:rFonts w:ascii="Verdana" w:hAnsi="Verdana"/>
                <w:b/>
                <w:sz w:val="20"/>
              </w:rPr>
            </w:pPr>
          </w:p>
        </w:tc>
      </w:tr>
      <w:tr w:rsidR="000A5B9A" w:rsidRPr="005D72A9" w:rsidTr="0050008E">
        <w:trPr>
          <w:cantSplit/>
        </w:trPr>
        <w:tc>
          <w:tcPr>
            <w:tcW w:w="10031" w:type="dxa"/>
            <w:gridSpan w:val="2"/>
          </w:tcPr>
          <w:p w:rsidR="000A5B9A" w:rsidRPr="005D72A9" w:rsidRDefault="000A5B9A" w:rsidP="000A5B9A">
            <w:pPr>
              <w:pStyle w:val="Source"/>
            </w:pPr>
            <w:bookmarkStart w:id="2" w:name="dsource" w:colFirst="0" w:colLast="0"/>
            <w:r w:rsidRPr="005D72A9">
              <w:t>Propuestas Comunes de los Estados Árabes</w:t>
            </w:r>
          </w:p>
        </w:tc>
      </w:tr>
      <w:tr w:rsidR="000A5B9A" w:rsidRPr="005D72A9" w:rsidTr="0050008E">
        <w:trPr>
          <w:cantSplit/>
        </w:trPr>
        <w:tc>
          <w:tcPr>
            <w:tcW w:w="10031" w:type="dxa"/>
            <w:gridSpan w:val="2"/>
          </w:tcPr>
          <w:p w:rsidR="000A5B9A" w:rsidRPr="005D72A9" w:rsidRDefault="00EB628B" w:rsidP="000A5B9A">
            <w:pPr>
              <w:pStyle w:val="Title1"/>
            </w:pPr>
            <w:bookmarkStart w:id="3" w:name="dtitle1" w:colFirst="0" w:colLast="0"/>
            <w:bookmarkEnd w:id="2"/>
            <w:r w:rsidRPr="005D72A9">
              <w:t>PROPUESTAS PARA LOS TRABAJOS DE LA CONFERENCIA</w:t>
            </w:r>
          </w:p>
        </w:tc>
      </w:tr>
      <w:tr w:rsidR="000A5B9A" w:rsidRPr="005D72A9" w:rsidTr="0050008E">
        <w:trPr>
          <w:cantSplit/>
        </w:trPr>
        <w:tc>
          <w:tcPr>
            <w:tcW w:w="10031" w:type="dxa"/>
            <w:gridSpan w:val="2"/>
          </w:tcPr>
          <w:p w:rsidR="000A5B9A" w:rsidRPr="005D72A9" w:rsidRDefault="000A5B9A" w:rsidP="000A5B9A">
            <w:pPr>
              <w:pStyle w:val="Title2"/>
            </w:pPr>
            <w:bookmarkStart w:id="4" w:name="dtitle2" w:colFirst="0" w:colLast="0"/>
            <w:bookmarkEnd w:id="3"/>
          </w:p>
        </w:tc>
      </w:tr>
      <w:tr w:rsidR="000A5B9A" w:rsidRPr="005D72A9" w:rsidTr="0050008E">
        <w:trPr>
          <w:cantSplit/>
        </w:trPr>
        <w:tc>
          <w:tcPr>
            <w:tcW w:w="10031" w:type="dxa"/>
            <w:gridSpan w:val="2"/>
          </w:tcPr>
          <w:p w:rsidR="000A5B9A" w:rsidRPr="005D72A9" w:rsidRDefault="000A5B9A" w:rsidP="000A5B9A">
            <w:pPr>
              <w:pStyle w:val="Agendaitem"/>
            </w:pPr>
            <w:bookmarkStart w:id="5" w:name="dtitle3" w:colFirst="0" w:colLast="0"/>
            <w:bookmarkEnd w:id="4"/>
            <w:r w:rsidRPr="005D72A9">
              <w:t>Punto GFT(PP-14) del orden del día</w:t>
            </w:r>
          </w:p>
        </w:tc>
      </w:tr>
    </w:tbl>
    <w:bookmarkEnd w:id="5"/>
    <w:p w:rsidR="00816F18" w:rsidRPr="005D72A9" w:rsidRDefault="009E6FA0" w:rsidP="00873DD2">
      <w:r w:rsidRPr="005D72A9">
        <w:t xml:space="preserve">Resolución 185 (Busán, 2014) </w:t>
      </w:r>
      <w:r w:rsidRPr="005D72A9">
        <w:tab/>
        <w:t>Seguimiento mundial de vuelos de la aviación civil - La Conferencia de Plenipotenciarios de la Unión Internacional de Telecomunicaciones (Busán, 2014), resuelve encargar a la CMR-15, de conformidad con el número 119 del Convenio de la UIT, que incorpore en su orden del día, con carácter urgente, el examen del seguimiento mundial de vuelos, incluyendo, de ser apropiado y en consonancia con las prácticas de la UIT, los diversos aspectos relacionados, teniendo en cuenta los estudios llevados a cabo por el UIT-R,</w:t>
      </w:r>
    </w:p>
    <w:p w:rsidR="00363A65" w:rsidRPr="005D72A9" w:rsidRDefault="00363A65" w:rsidP="009144C9"/>
    <w:p w:rsidR="00761FFC" w:rsidRPr="005D72A9" w:rsidRDefault="00761FFC" w:rsidP="00761FFC">
      <w:pPr>
        <w:pStyle w:val="Headingb"/>
      </w:pPr>
      <w:r w:rsidRPr="005D72A9">
        <w:t>Introducción</w:t>
      </w:r>
    </w:p>
    <w:p w:rsidR="00292BAC" w:rsidRPr="005D72A9" w:rsidRDefault="00DF281C" w:rsidP="00DF281C">
      <w:pPr>
        <w:tabs>
          <w:tab w:val="left" w:pos="720"/>
          <w:tab w:val="left" w:pos="1440"/>
          <w:tab w:val="left" w:pos="1800"/>
          <w:tab w:val="left" w:pos="2160"/>
          <w:tab w:val="left" w:pos="2520"/>
          <w:tab w:val="left" w:pos="2880"/>
        </w:tabs>
        <w:rPr>
          <w:bCs/>
          <w:szCs w:val="22"/>
        </w:rPr>
      </w:pPr>
      <w:r w:rsidRPr="005D72A9">
        <w:t xml:space="preserve">La </w:t>
      </w:r>
      <w:r w:rsidRPr="005D72A9">
        <w:rPr>
          <w:rStyle w:val="hps"/>
        </w:rPr>
        <w:t>Conferencia</w:t>
      </w:r>
      <w:r w:rsidRPr="005D72A9">
        <w:t xml:space="preserve"> </w:t>
      </w:r>
      <w:r w:rsidRPr="005D72A9">
        <w:rPr>
          <w:rStyle w:val="hps"/>
        </w:rPr>
        <w:t>Plenipotenciarios de la UIT de 2014</w:t>
      </w:r>
      <w:r w:rsidRPr="005D72A9">
        <w:t xml:space="preserve"> </w:t>
      </w:r>
      <w:r w:rsidRPr="005D72A9">
        <w:rPr>
          <w:rStyle w:val="hps"/>
        </w:rPr>
        <w:t>(</w:t>
      </w:r>
      <w:r w:rsidRPr="005D72A9">
        <w:rPr>
          <w:rStyle w:val="atn"/>
        </w:rPr>
        <w:t>PP-</w:t>
      </w:r>
      <w:r w:rsidRPr="005D72A9">
        <w:t xml:space="preserve">14) encargó a </w:t>
      </w:r>
      <w:r w:rsidRPr="005D72A9">
        <w:rPr>
          <w:rStyle w:val="hps"/>
        </w:rPr>
        <w:t>la CMR-</w:t>
      </w:r>
      <w:r w:rsidRPr="005D72A9">
        <w:t>15, de conformidad con el número 119 del Convenio de la UIT,</w:t>
      </w:r>
      <w:r w:rsidR="005D72A9">
        <w:t xml:space="preserve"> </w:t>
      </w:r>
      <w:r w:rsidR="00292BAC" w:rsidRPr="005D72A9">
        <w:rPr>
          <w:bCs/>
          <w:szCs w:val="22"/>
        </w:rPr>
        <w:t>«que incorpore en su orden del día, con carácter urgente, el examen del seguimiento mundial de vuelos, incluyendo, de ser apropiado, y en consonancia con las prácticas de la UIT, los diversos aspectos relacionados, teniendo en cuenta los estudios llevados a cabo por el UIT-R».</w:t>
      </w:r>
    </w:p>
    <w:p w:rsidR="0033170C" w:rsidRPr="005D72A9" w:rsidRDefault="00DF281C" w:rsidP="00FC24F9">
      <w:r w:rsidRPr="005D72A9">
        <w:rPr>
          <w:rStyle w:val="hps"/>
        </w:rPr>
        <w:t>Las</w:t>
      </w:r>
      <w:r w:rsidRPr="005D72A9">
        <w:t xml:space="preserve"> </w:t>
      </w:r>
      <w:r w:rsidRPr="005D72A9">
        <w:rPr>
          <w:rStyle w:val="hps"/>
        </w:rPr>
        <w:t>administraciones de los Estados</w:t>
      </w:r>
      <w:r w:rsidRPr="005D72A9">
        <w:t xml:space="preserve"> </w:t>
      </w:r>
      <w:r w:rsidRPr="005D72A9">
        <w:rPr>
          <w:rStyle w:val="hps"/>
        </w:rPr>
        <w:t>Árabes</w:t>
      </w:r>
      <w:r w:rsidRPr="005D72A9">
        <w:t xml:space="preserve"> sometieron a </w:t>
      </w:r>
      <w:r w:rsidRPr="005D72A9">
        <w:rPr>
          <w:rStyle w:val="hps"/>
        </w:rPr>
        <w:t>la conferencia de</w:t>
      </w:r>
      <w:r w:rsidRPr="005D72A9">
        <w:t xml:space="preserve"> </w:t>
      </w:r>
      <w:r w:rsidRPr="005D72A9">
        <w:rPr>
          <w:rStyle w:val="hps"/>
        </w:rPr>
        <w:t>Busán un anteproyecto de nueva</w:t>
      </w:r>
      <w:r w:rsidRPr="005D72A9">
        <w:t xml:space="preserve"> </w:t>
      </w:r>
      <w:r w:rsidRPr="005D72A9">
        <w:rPr>
          <w:rStyle w:val="hps"/>
        </w:rPr>
        <w:t>Resolución [</w:t>
      </w:r>
      <w:r w:rsidRPr="005D72A9">
        <w:rPr>
          <w:rStyle w:val="atn"/>
        </w:rPr>
        <w:t>ARA-</w:t>
      </w:r>
      <w:r w:rsidRPr="005D72A9">
        <w:t>2]</w:t>
      </w:r>
      <w:r w:rsidRPr="005D72A9">
        <w:rPr>
          <w:rStyle w:val="hps"/>
        </w:rPr>
        <w:t>,</w:t>
      </w:r>
      <w:r w:rsidRPr="005D72A9">
        <w:t xml:space="preserve"> </w:t>
      </w:r>
      <w:r w:rsidRPr="005D72A9">
        <w:rPr>
          <w:rStyle w:val="hps"/>
        </w:rPr>
        <w:t>en el que se afirmaba</w:t>
      </w:r>
      <w:r w:rsidRPr="005D72A9">
        <w:t xml:space="preserve"> </w:t>
      </w:r>
      <w:r w:rsidRPr="005D72A9">
        <w:rPr>
          <w:rStyle w:val="hps"/>
        </w:rPr>
        <w:t>lo siguiente:</w:t>
      </w:r>
    </w:p>
    <w:p w:rsidR="00660488" w:rsidRPr="005D72A9" w:rsidRDefault="00660488">
      <w:pPr>
        <w:pStyle w:val="enumlev1"/>
        <w:pPrChange w:id="6" w:author="Author">
          <w:pPr>
            <w:spacing w:line="480" w:lineRule="auto"/>
            <w:jc w:val="both"/>
          </w:pPr>
        </w:pPrChange>
      </w:pPr>
      <w:r w:rsidRPr="005D72A9">
        <w:t>•</w:t>
      </w:r>
      <w:r w:rsidRPr="005D72A9">
        <w:tab/>
      </w:r>
      <w:r w:rsidR="005D72A9">
        <w:t xml:space="preserve">que era </w:t>
      </w:r>
      <w:r w:rsidR="000E6220" w:rsidRPr="005D72A9">
        <w:t>importan</w:t>
      </w:r>
      <w:r w:rsidR="005D72A9">
        <w:t>te</w:t>
      </w:r>
      <w:r w:rsidR="000E6220" w:rsidRPr="005D72A9">
        <w:t xml:space="preserve"> analizar</w:t>
      </w:r>
      <w:r w:rsidRPr="005D72A9">
        <w:t xml:space="preserve"> este tema</w:t>
      </w:r>
      <w:r w:rsidR="000E6220" w:rsidRPr="005D72A9">
        <w:t>, otorgándole</w:t>
      </w:r>
      <w:r w:rsidRPr="005D72A9">
        <w:t xml:space="preserve"> la máxima prioridad</w:t>
      </w:r>
      <w:r w:rsidR="000E6220" w:rsidRPr="005D72A9">
        <w:t>,</w:t>
      </w:r>
      <w:r w:rsidRPr="005D72A9">
        <w:t xml:space="preserve"> y examin</w:t>
      </w:r>
      <w:r w:rsidR="000E6220" w:rsidRPr="005D72A9">
        <w:t>ar</w:t>
      </w:r>
      <w:r w:rsidRPr="005D72A9">
        <w:t xml:space="preserve"> las atribuciones actuales del espectro de frecuencias a los servicios de aviación pertinentes y otros requisitos</w:t>
      </w:r>
      <w:r w:rsidR="000E6220" w:rsidRPr="005D72A9">
        <w:t>;</w:t>
      </w:r>
      <w:r w:rsidRPr="005D72A9">
        <w:t xml:space="preserve"> </w:t>
      </w:r>
    </w:p>
    <w:p w:rsidR="00660488" w:rsidRPr="005D72A9" w:rsidRDefault="00660488" w:rsidP="005D72A9">
      <w:pPr>
        <w:pStyle w:val="enumlev1"/>
      </w:pPr>
      <w:r w:rsidRPr="005D72A9">
        <w:t>•</w:t>
      </w:r>
      <w:r w:rsidRPr="005D72A9">
        <w:tab/>
        <w:t xml:space="preserve">que determinar y hacer el seguimiento por satélite de la trayectoria de los vuelos de las aeronaves civiles contribuirá </w:t>
      </w:r>
      <w:bookmarkStart w:id="7" w:name="_GoBack"/>
      <w:bookmarkEnd w:id="7"/>
      <w:r w:rsidRPr="005D72A9">
        <w:t>directamente a mejorar los sistemas y prácticas de seguridad y la seguridad aérea, lo que podría reducir los accidentes aéreos;</w:t>
      </w:r>
      <w:r w:rsidR="000E6220" w:rsidRPr="005D72A9">
        <w:t xml:space="preserve"> y</w:t>
      </w:r>
    </w:p>
    <w:p w:rsidR="00660488" w:rsidRPr="005D72A9" w:rsidRDefault="00660488" w:rsidP="000E6220">
      <w:pPr>
        <w:pStyle w:val="enumlev1"/>
      </w:pPr>
      <w:r w:rsidRPr="005D72A9">
        <w:t>•</w:t>
      </w:r>
      <w:r w:rsidRPr="005D72A9">
        <w:tab/>
        <w:t>que la utilización de un sistema avanzado para seguir por satélite la trayectoria de los vuelos de las aeronaves civiles contribuirá a mejorar la capacidad de determinar la ubicación de una aeronave permanentemente y con un elevado grado de precisión</w:t>
      </w:r>
      <w:r w:rsidR="000E6220" w:rsidRPr="005D72A9">
        <w:t>.</w:t>
      </w:r>
    </w:p>
    <w:p w:rsidR="00E80303" w:rsidRPr="005D72A9" w:rsidRDefault="000E6220" w:rsidP="00FC24F9">
      <w:r w:rsidRPr="005D72A9">
        <w:rPr>
          <w:rStyle w:val="hps"/>
        </w:rPr>
        <w:lastRenderedPageBreak/>
        <w:t>Los Grupos de Trabajo</w:t>
      </w:r>
      <w:r w:rsidRPr="005D72A9">
        <w:t xml:space="preserve"> </w:t>
      </w:r>
      <w:r w:rsidRPr="005D72A9">
        <w:rPr>
          <w:rStyle w:val="hps"/>
        </w:rPr>
        <w:t>4C</w:t>
      </w:r>
      <w:r w:rsidRPr="005D72A9">
        <w:t xml:space="preserve"> </w:t>
      </w:r>
      <w:r w:rsidRPr="005D72A9">
        <w:rPr>
          <w:rStyle w:val="hps"/>
        </w:rPr>
        <w:t>y 5B han realizado una serie</w:t>
      </w:r>
      <w:r w:rsidRPr="005D72A9">
        <w:t xml:space="preserve"> </w:t>
      </w:r>
      <w:r w:rsidRPr="005D72A9">
        <w:rPr>
          <w:rStyle w:val="hps"/>
        </w:rPr>
        <w:t>de estudios relativos a dos</w:t>
      </w:r>
      <w:r w:rsidRPr="005D72A9">
        <w:t xml:space="preserve"> </w:t>
      </w:r>
      <w:r w:rsidRPr="005D72A9">
        <w:rPr>
          <w:rStyle w:val="hps"/>
        </w:rPr>
        <w:t>sistemas de satélites,</w:t>
      </w:r>
      <w:r w:rsidRPr="005D72A9">
        <w:t xml:space="preserve"> </w:t>
      </w:r>
      <w:r w:rsidRPr="005D72A9">
        <w:rPr>
          <w:rStyle w:val="hps"/>
        </w:rPr>
        <w:t>que podría contribuir a la consecución y el desarrollo del sistema de</w:t>
      </w:r>
      <w:r w:rsidRPr="005D72A9">
        <w:t xml:space="preserve"> seguimiento mundial de vuelos </w:t>
      </w:r>
      <w:r w:rsidRPr="005D72A9">
        <w:rPr>
          <w:rStyle w:val="hps"/>
        </w:rPr>
        <w:t>de la aviación</w:t>
      </w:r>
      <w:r w:rsidRPr="005D72A9">
        <w:t xml:space="preserve"> </w:t>
      </w:r>
      <w:r w:rsidRPr="005D72A9">
        <w:rPr>
          <w:rStyle w:val="hps"/>
        </w:rPr>
        <w:t>civil.</w:t>
      </w:r>
      <w:r w:rsidRPr="005D72A9">
        <w:t xml:space="preserve"> </w:t>
      </w:r>
      <w:r w:rsidRPr="005D72A9">
        <w:rPr>
          <w:rStyle w:val="hps"/>
        </w:rPr>
        <w:t>Dichos estudios versan sobre:</w:t>
      </w:r>
    </w:p>
    <w:p w:rsidR="00C7064E" w:rsidRPr="005D72A9" w:rsidRDefault="00E80303" w:rsidP="00493C32">
      <w:pPr>
        <w:pStyle w:val="enumlev1"/>
      </w:pPr>
      <w:r w:rsidRPr="005D72A9">
        <w:t>•</w:t>
      </w:r>
      <w:r w:rsidR="00C7064E" w:rsidRPr="005D72A9">
        <w:tab/>
      </w:r>
      <w:r w:rsidR="00493C32" w:rsidRPr="005D72A9">
        <w:t>la vigilancia dependiente automática – Contrato (ADS-C); y</w:t>
      </w:r>
      <w:r w:rsidR="00FC24F9">
        <w:t xml:space="preserve"> </w:t>
      </w:r>
    </w:p>
    <w:p w:rsidR="00C7064E" w:rsidRPr="005D72A9" w:rsidRDefault="00C7064E" w:rsidP="00493C32">
      <w:pPr>
        <w:pStyle w:val="enumlev1"/>
      </w:pPr>
      <w:r w:rsidRPr="005D72A9">
        <w:t>•</w:t>
      </w:r>
      <w:r w:rsidRPr="005D72A9">
        <w:tab/>
      </w:r>
      <w:r w:rsidR="00493C32" w:rsidRPr="005D72A9">
        <w:t>la</w:t>
      </w:r>
      <w:r w:rsidRPr="005D72A9">
        <w:t xml:space="preserve"> vigilancia dependiente automática – Radiodifusión (ADS</w:t>
      </w:r>
      <w:r w:rsidRPr="005D72A9">
        <w:noBreakHyphen/>
        <w:t>B).</w:t>
      </w:r>
    </w:p>
    <w:p w:rsidR="005D72A9" w:rsidRDefault="00493C32" w:rsidP="00FC24F9">
      <w:r w:rsidRPr="005D72A9">
        <w:rPr>
          <w:rStyle w:val="hps"/>
        </w:rPr>
        <w:t>Los</w:t>
      </w:r>
      <w:r w:rsidRPr="005D72A9">
        <w:t xml:space="preserve"> </w:t>
      </w:r>
      <w:r w:rsidRPr="005D72A9">
        <w:rPr>
          <w:rStyle w:val="hps"/>
        </w:rPr>
        <w:t>estudios sobre</w:t>
      </w:r>
      <w:r w:rsidRPr="005D72A9">
        <w:t xml:space="preserve"> </w:t>
      </w:r>
      <w:r w:rsidRPr="005D72A9">
        <w:rPr>
          <w:rStyle w:val="hps"/>
        </w:rPr>
        <w:t>ADS-</w:t>
      </w:r>
      <w:r w:rsidRPr="005D72A9">
        <w:t xml:space="preserve">C </w:t>
      </w:r>
      <w:r w:rsidRPr="005D72A9">
        <w:rPr>
          <w:rStyle w:val="hps"/>
        </w:rPr>
        <w:t>concluyeron</w:t>
      </w:r>
      <w:r w:rsidRPr="005D72A9">
        <w:t xml:space="preserve"> </w:t>
      </w:r>
      <w:r w:rsidRPr="005D72A9">
        <w:rPr>
          <w:rStyle w:val="hps"/>
        </w:rPr>
        <w:t>que no era necesario</w:t>
      </w:r>
      <w:r w:rsidRPr="005D72A9">
        <w:t xml:space="preserve"> </w:t>
      </w:r>
      <w:r w:rsidRPr="005D72A9">
        <w:rPr>
          <w:rStyle w:val="hps"/>
        </w:rPr>
        <w:t>adoptar</w:t>
      </w:r>
      <w:r w:rsidRPr="005D72A9">
        <w:t xml:space="preserve"> </w:t>
      </w:r>
      <w:r w:rsidRPr="005D72A9">
        <w:rPr>
          <w:rStyle w:val="hps"/>
        </w:rPr>
        <w:t>disposiciones reglamentarias con respecto al sistema</w:t>
      </w:r>
      <w:r w:rsidRPr="005D72A9">
        <w:t xml:space="preserve"> </w:t>
      </w:r>
      <w:r w:rsidRPr="005D72A9">
        <w:rPr>
          <w:rStyle w:val="hps"/>
        </w:rPr>
        <w:t>en la CMR</w:t>
      </w:r>
      <w:r w:rsidRPr="005D72A9">
        <w:rPr>
          <w:rStyle w:val="atn"/>
        </w:rPr>
        <w:t>-</w:t>
      </w:r>
      <w:r w:rsidRPr="005D72A9">
        <w:t>15.</w:t>
      </w:r>
    </w:p>
    <w:p w:rsidR="00493C32" w:rsidRPr="005D72A9" w:rsidRDefault="00493C32" w:rsidP="00FC24F9">
      <w:r w:rsidRPr="005D72A9">
        <w:rPr>
          <w:rStyle w:val="hps"/>
        </w:rPr>
        <w:t>En lo que atañe</w:t>
      </w:r>
      <w:r w:rsidRPr="005D72A9">
        <w:t xml:space="preserve"> </w:t>
      </w:r>
      <w:r w:rsidRPr="005D72A9">
        <w:rPr>
          <w:rStyle w:val="hps"/>
        </w:rPr>
        <w:t>a ADS-</w:t>
      </w:r>
      <w:r w:rsidRPr="005D72A9">
        <w:t xml:space="preserve">B, la Organización </w:t>
      </w:r>
      <w:r w:rsidRPr="005D72A9">
        <w:rPr>
          <w:rStyle w:val="hps"/>
        </w:rPr>
        <w:t>de Aviación Civil Internacional</w:t>
      </w:r>
      <w:r w:rsidRPr="005D72A9">
        <w:t xml:space="preserve"> </w:t>
      </w:r>
      <w:r w:rsidRPr="005D72A9">
        <w:rPr>
          <w:rStyle w:val="hps"/>
        </w:rPr>
        <w:t>(OACI</w:t>
      </w:r>
      <w:r w:rsidRPr="005D72A9">
        <w:t xml:space="preserve">) </w:t>
      </w:r>
      <w:r w:rsidR="005D72A9">
        <w:t>señal</w:t>
      </w:r>
      <w:r w:rsidRPr="005D72A9">
        <w:t xml:space="preserve">ó </w:t>
      </w:r>
      <w:r w:rsidRPr="005D72A9">
        <w:rPr>
          <w:rStyle w:val="hps"/>
        </w:rPr>
        <w:t>la necesidad de atribuir</w:t>
      </w:r>
      <w:r w:rsidRPr="005D72A9">
        <w:t xml:space="preserve"> </w:t>
      </w:r>
      <w:r w:rsidRPr="005D72A9">
        <w:rPr>
          <w:rStyle w:val="hps"/>
        </w:rPr>
        <w:t>frecuencias</w:t>
      </w:r>
      <w:r w:rsidR="005D72A9">
        <w:rPr>
          <w:rStyle w:val="hps"/>
        </w:rPr>
        <w:t xml:space="preserve"> para </w:t>
      </w:r>
      <w:r w:rsidRPr="005D72A9">
        <w:rPr>
          <w:rStyle w:val="hps"/>
        </w:rPr>
        <w:t>respaldar el desarrollo</w:t>
      </w:r>
      <w:r w:rsidRPr="005D72A9">
        <w:t xml:space="preserve"> </w:t>
      </w:r>
      <w:r w:rsidRPr="005D72A9">
        <w:rPr>
          <w:rStyle w:val="hps"/>
        </w:rPr>
        <w:t>de</w:t>
      </w:r>
      <w:r w:rsidR="005D72A9">
        <w:rPr>
          <w:rStyle w:val="hps"/>
        </w:rPr>
        <w:t>l</w:t>
      </w:r>
      <w:r w:rsidRPr="005D72A9">
        <w:t xml:space="preserve"> </w:t>
      </w:r>
      <w:r w:rsidRPr="005D72A9">
        <w:rPr>
          <w:rStyle w:val="hps"/>
        </w:rPr>
        <w:t>enlace terrenal de</w:t>
      </w:r>
      <w:r w:rsidRPr="005D72A9">
        <w:t xml:space="preserve"> </w:t>
      </w:r>
      <w:r w:rsidRPr="005D72A9">
        <w:rPr>
          <w:rStyle w:val="hps"/>
        </w:rPr>
        <w:t>ADS-</w:t>
      </w:r>
      <w:r w:rsidRPr="005D72A9">
        <w:t>B</w:t>
      </w:r>
      <w:r w:rsidR="004367D9">
        <w:t>,</w:t>
      </w:r>
      <w:r w:rsidRPr="005D72A9">
        <w:t xml:space="preserve"> </w:t>
      </w:r>
      <w:r w:rsidR="005D72A9">
        <w:rPr>
          <w:rStyle w:val="hps"/>
        </w:rPr>
        <w:t>con el fin de</w:t>
      </w:r>
      <w:r w:rsidRPr="005D72A9">
        <w:rPr>
          <w:rStyle w:val="hps"/>
        </w:rPr>
        <w:t xml:space="preserve"> incluir el</w:t>
      </w:r>
      <w:r w:rsidRPr="005D72A9">
        <w:t xml:space="preserve"> </w:t>
      </w:r>
      <w:r w:rsidRPr="005D72A9">
        <w:rPr>
          <w:rStyle w:val="hps"/>
        </w:rPr>
        <w:t>servicio por satélite</w:t>
      </w:r>
      <w:r w:rsidRPr="005D72A9">
        <w:t xml:space="preserve">, </w:t>
      </w:r>
      <w:r w:rsidR="00400251" w:rsidRPr="005D72A9">
        <w:t>habida cuenta de</w:t>
      </w:r>
      <w:r w:rsidR="00614AAC" w:rsidRPr="005D72A9">
        <w:t xml:space="preserve"> </w:t>
      </w:r>
      <w:r w:rsidR="005D72A9">
        <w:t xml:space="preserve">las notables </w:t>
      </w:r>
      <w:r w:rsidR="00614AAC" w:rsidRPr="005D72A9">
        <w:t xml:space="preserve">mejoras </w:t>
      </w:r>
      <w:r w:rsidR="005D72A9" w:rsidRPr="005D72A9">
        <w:t>que aportaría</w:t>
      </w:r>
      <w:r w:rsidR="00614AAC" w:rsidRPr="005D72A9">
        <w:t xml:space="preserve"> al</w:t>
      </w:r>
      <w:r w:rsidRPr="005D72A9">
        <w:rPr>
          <w:rStyle w:val="hps"/>
        </w:rPr>
        <w:t xml:space="preserve"> servicio</w:t>
      </w:r>
      <w:r w:rsidRPr="005D72A9">
        <w:t xml:space="preserve"> </w:t>
      </w:r>
      <w:r w:rsidR="00614AAC" w:rsidRPr="005D72A9">
        <w:t xml:space="preserve">en </w:t>
      </w:r>
      <w:r w:rsidRPr="005D72A9">
        <w:rPr>
          <w:rStyle w:val="hps"/>
        </w:rPr>
        <w:t>regiones</w:t>
      </w:r>
      <w:r w:rsidRPr="005D72A9">
        <w:t xml:space="preserve"> </w:t>
      </w:r>
      <w:r w:rsidR="00614AAC" w:rsidRPr="005D72A9">
        <w:t>muy distantes y remotas de lo</w:t>
      </w:r>
      <w:r w:rsidRPr="005D72A9">
        <w:rPr>
          <w:rStyle w:val="hps"/>
        </w:rPr>
        <w:t>s océanos y</w:t>
      </w:r>
      <w:r w:rsidR="00614AAC" w:rsidRPr="005D72A9">
        <w:rPr>
          <w:rStyle w:val="hps"/>
        </w:rPr>
        <w:t xml:space="preserve"> de</w:t>
      </w:r>
      <w:r w:rsidRPr="005D72A9">
        <w:t xml:space="preserve"> </w:t>
      </w:r>
      <w:r w:rsidRPr="005D72A9">
        <w:rPr>
          <w:rStyle w:val="hps"/>
        </w:rPr>
        <w:t>los</w:t>
      </w:r>
      <w:r w:rsidRPr="005D72A9">
        <w:t xml:space="preserve"> </w:t>
      </w:r>
      <w:r w:rsidRPr="005D72A9">
        <w:rPr>
          <w:rStyle w:val="hps"/>
        </w:rPr>
        <w:t>polos norte y sur</w:t>
      </w:r>
      <w:r w:rsidR="00614AAC" w:rsidRPr="005D72A9">
        <w:rPr>
          <w:rStyle w:val="hps"/>
        </w:rPr>
        <w:t>. De</w:t>
      </w:r>
      <w:r w:rsidR="00614AAC" w:rsidRPr="005D72A9">
        <w:t xml:space="preserve"> esta forma, </w:t>
      </w:r>
      <w:r w:rsidRPr="005D72A9">
        <w:rPr>
          <w:rStyle w:val="hps"/>
        </w:rPr>
        <w:t>la OACI</w:t>
      </w:r>
      <w:r w:rsidRPr="005D72A9">
        <w:t xml:space="preserve"> </w:t>
      </w:r>
      <w:r w:rsidR="00614AAC" w:rsidRPr="005D72A9">
        <w:rPr>
          <w:rStyle w:val="hps"/>
        </w:rPr>
        <w:t>podría</w:t>
      </w:r>
      <w:r w:rsidRPr="005D72A9">
        <w:rPr>
          <w:rStyle w:val="hps"/>
        </w:rPr>
        <w:t xml:space="preserve"> formular</w:t>
      </w:r>
      <w:r w:rsidRPr="005D72A9">
        <w:t xml:space="preserve"> </w:t>
      </w:r>
      <w:r w:rsidRPr="005D72A9">
        <w:rPr>
          <w:rStyle w:val="hps"/>
        </w:rPr>
        <w:t>normas y especificaciones</w:t>
      </w:r>
      <w:r w:rsidRPr="005D72A9">
        <w:t xml:space="preserve"> </w:t>
      </w:r>
      <w:r w:rsidRPr="005D72A9">
        <w:rPr>
          <w:rStyle w:val="hps"/>
        </w:rPr>
        <w:t>para el futuro</w:t>
      </w:r>
      <w:r w:rsidRPr="005D72A9">
        <w:t xml:space="preserve"> </w:t>
      </w:r>
      <w:r w:rsidRPr="005D72A9">
        <w:rPr>
          <w:rStyle w:val="hps"/>
        </w:rPr>
        <w:t>funcionamiento de este</w:t>
      </w:r>
      <w:r w:rsidRPr="005D72A9">
        <w:t xml:space="preserve"> </w:t>
      </w:r>
      <w:r w:rsidRPr="005D72A9">
        <w:rPr>
          <w:rStyle w:val="hps"/>
        </w:rPr>
        <w:t>servicio.</w:t>
      </w:r>
      <w:r w:rsidRPr="005D72A9">
        <w:t xml:space="preserve"> </w:t>
      </w:r>
      <w:r w:rsidR="00984F82">
        <w:t>Dicha</w:t>
      </w:r>
      <w:r w:rsidR="00614AAC" w:rsidRPr="005D72A9">
        <w:t xml:space="preserve"> Organización </w:t>
      </w:r>
      <w:r w:rsidRPr="005D72A9">
        <w:rPr>
          <w:rStyle w:val="hps"/>
        </w:rPr>
        <w:t>presentó su</w:t>
      </w:r>
      <w:r w:rsidRPr="005D72A9">
        <w:t xml:space="preserve"> </w:t>
      </w:r>
      <w:r w:rsidRPr="005D72A9">
        <w:rPr>
          <w:rStyle w:val="hps"/>
        </w:rPr>
        <w:t>posición formal</w:t>
      </w:r>
      <w:r w:rsidRPr="005D72A9">
        <w:t xml:space="preserve"> </w:t>
      </w:r>
      <w:r w:rsidRPr="005D72A9">
        <w:rPr>
          <w:rStyle w:val="hps"/>
        </w:rPr>
        <w:t>en julio de 2015</w:t>
      </w:r>
      <w:r w:rsidR="00614AAC" w:rsidRPr="005D72A9">
        <w:rPr>
          <w:rStyle w:val="hps"/>
        </w:rPr>
        <w:t xml:space="preserve"> y</w:t>
      </w:r>
      <w:r w:rsidRPr="005D72A9">
        <w:t xml:space="preserve"> </w:t>
      </w:r>
      <w:r w:rsidRPr="005D72A9">
        <w:rPr>
          <w:rStyle w:val="hps"/>
        </w:rPr>
        <w:t>solicit</w:t>
      </w:r>
      <w:r w:rsidR="00614AAC" w:rsidRPr="005D72A9">
        <w:rPr>
          <w:rStyle w:val="hps"/>
        </w:rPr>
        <w:t xml:space="preserve">ó la atribución </w:t>
      </w:r>
      <w:r w:rsidRPr="005D72A9">
        <w:rPr>
          <w:rStyle w:val="hps"/>
        </w:rPr>
        <w:t>de la banda</w:t>
      </w:r>
      <w:r w:rsidRPr="005D72A9">
        <w:t xml:space="preserve"> </w:t>
      </w:r>
      <w:r w:rsidRPr="005D72A9">
        <w:rPr>
          <w:rStyle w:val="hps"/>
        </w:rPr>
        <w:t>1</w:t>
      </w:r>
      <w:r w:rsidRPr="005D72A9">
        <w:t xml:space="preserve"> </w:t>
      </w:r>
      <w:r w:rsidRPr="005D72A9">
        <w:rPr>
          <w:rStyle w:val="hps"/>
        </w:rPr>
        <w:t>087,7-1</w:t>
      </w:r>
      <w:r w:rsidRPr="005D72A9">
        <w:t xml:space="preserve"> </w:t>
      </w:r>
      <w:r w:rsidRPr="005D72A9">
        <w:rPr>
          <w:rStyle w:val="hps"/>
        </w:rPr>
        <w:t>092,3</w:t>
      </w:r>
      <w:r w:rsidRPr="005D72A9">
        <w:t xml:space="preserve"> </w:t>
      </w:r>
      <w:r w:rsidRPr="005D72A9">
        <w:rPr>
          <w:rStyle w:val="hps"/>
        </w:rPr>
        <w:t>MHz</w:t>
      </w:r>
      <w:r w:rsidRPr="005D72A9">
        <w:t xml:space="preserve"> </w:t>
      </w:r>
      <w:r w:rsidRPr="005D72A9">
        <w:rPr>
          <w:rStyle w:val="hps"/>
        </w:rPr>
        <w:t>al</w:t>
      </w:r>
      <w:r w:rsidRPr="005D72A9">
        <w:t xml:space="preserve"> </w:t>
      </w:r>
      <w:r w:rsidRPr="005D72A9">
        <w:rPr>
          <w:rStyle w:val="hps"/>
        </w:rPr>
        <w:t>SMA(R</w:t>
      </w:r>
      <w:r w:rsidRPr="005D72A9">
        <w:t>).</w:t>
      </w:r>
    </w:p>
    <w:p w:rsidR="00897919" w:rsidRPr="005D72A9" w:rsidRDefault="00614AAC" w:rsidP="00FC24F9">
      <w:r w:rsidRPr="005D72A9">
        <w:t xml:space="preserve">Cabe </w:t>
      </w:r>
      <w:r w:rsidRPr="005D72A9">
        <w:rPr>
          <w:rStyle w:val="hps"/>
        </w:rPr>
        <w:t>señalar</w:t>
      </w:r>
      <w:r w:rsidRPr="005D72A9">
        <w:t xml:space="preserve"> </w:t>
      </w:r>
      <w:r w:rsidRPr="005D72A9">
        <w:rPr>
          <w:rStyle w:val="hps"/>
        </w:rPr>
        <w:t>que el GT 5B</w:t>
      </w:r>
      <w:r w:rsidRPr="005D72A9">
        <w:t xml:space="preserve"> </w:t>
      </w:r>
      <w:r w:rsidRPr="005D72A9">
        <w:rPr>
          <w:rStyle w:val="hps"/>
        </w:rPr>
        <w:t>concluyó que</w:t>
      </w:r>
      <w:r w:rsidRPr="005D72A9">
        <w:t xml:space="preserve"> </w:t>
      </w:r>
      <w:r w:rsidRPr="005D72A9">
        <w:rPr>
          <w:rStyle w:val="hps"/>
        </w:rPr>
        <w:t>no había la más mínima posibilidad de interferencia perjudicial</w:t>
      </w:r>
      <w:r w:rsidRPr="005D72A9">
        <w:t xml:space="preserve"> </w:t>
      </w:r>
      <w:r w:rsidRPr="005D72A9">
        <w:rPr>
          <w:rStyle w:val="hps"/>
        </w:rPr>
        <w:t>a los servicios</w:t>
      </w:r>
      <w:r w:rsidRPr="005D72A9">
        <w:t xml:space="preserve"> </w:t>
      </w:r>
      <w:r w:rsidRPr="005D72A9">
        <w:rPr>
          <w:rStyle w:val="hps"/>
        </w:rPr>
        <w:t>actuales</w:t>
      </w:r>
      <w:r w:rsidRPr="005D72A9">
        <w:t xml:space="preserve"> </w:t>
      </w:r>
      <w:r w:rsidRPr="005D72A9">
        <w:rPr>
          <w:rStyle w:val="hps"/>
        </w:rPr>
        <w:t>en</w:t>
      </w:r>
      <w:r w:rsidRPr="005D72A9">
        <w:t xml:space="preserve"> </w:t>
      </w:r>
      <w:r w:rsidRPr="005D72A9">
        <w:rPr>
          <w:rStyle w:val="hps"/>
        </w:rPr>
        <w:t>la misma banda, puesto que</w:t>
      </w:r>
      <w:r w:rsidRPr="005D72A9">
        <w:t xml:space="preserve"> </w:t>
      </w:r>
      <w:r w:rsidRPr="005D72A9">
        <w:rPr>
          <w:rStyle w:val="hps"/>
        </w:rPr>
        <w:t>el nuevo sistema</w:t>
      </w:r>
      <w:r w:rsidRPr="005D72A9">
        <w:t xml:space="preserve"> </w:t>
      </w:r>
      <w:r w:rsidRPr="005D72A9">
        <w:rPr>
          <w:rStyle w:val="hps"/>
        </w:rPr>
        <w:t>retransmit</w:t>
      </w:r>
      <w:r w:rsidR="00E7472E" w:rsidRPr="005D72A9">
        <w:rPr>
          <w:rStyle w:val="hps"/>
        </w:rPr>
        <w:t xml:space="preserve">e </w:t>
      </w:r>
      <w:r w:rsidRPr="005D72A9">
        <w:rPr>
          <w:rStyle w:val="hps"/>
        </w:rPr>
        <w:t xml:space="preserve">señales </w:t>
      </w:r>
      <w:r w:rsidR="00E7472E" w:rsidRPr="005D72A9">
        <w:rPr>
          <w:rStyle w:val="hps"/>
        </w:rPr>
        <w:t>que provienen de</w:t>
      </w:r>
      <w:r w:rsidRPr="005D72A9">
        <w:rPr>
          <w:rStyle w:val="hps"/>
        </w:rPr>
        <w:t xml:space="preserve"> las aeronaves </w:t>
      </w:r>
      <w:r w:rsidR="00E7472E" w:rsidRPr="005D72A9">
        <w:rPr>
          <w:rStyle w:val="hps"/>
        </w:rPr>
        <w:t>y se dirigen haci</w:t>
      </w:r>
      <w:r w:rsidRPr="005D72A9">
        <w:rPr>
          <w:rStyle w:val="hps"/>
        </w:rPr>
        <w:t>a</w:t>
      </w:r>
      <w:r w:rsidRPr="005D72A9">
        <w:t xml:space="preserve"> </w:t>
      </w:r>
      <w:r w:rsidRPr="005D72A9">
        <w:rPr>
          <w:rStyle w:val="hps"/>
        </w:rPr>
        <w:t>la estación espacial.</w:t>
      </w:r>
      <w:r w:rsidRPr="005D72A9">
        <w:t xml:space="preserve"> </w:t>
      </w:r>
      <w:r w:rsidRPr="005D72A9">
        <w:rPr>
          <w:rStyle w:val="hps"/>
        </w:rPr>
        <w:t>Por otra parte,</w:t>
      </w:r>
      <w:r w:rsidRPr="005D72A9">
        <w:t xml:space="preserve"> </w:t>
      </w:r>
      <w:r w:rsidRPr="005D72A9">
        <w:rPr>
          <w:rStyle w:val="hps"/>
        </w:rPr>
        <w:t>los estudios técnicos</w:t>
      </w:r>
      <w:r w:rsidRPr="005D72A9">
        <w:t xml:space="preserve"> </w:t>
      </w:r>
      <w:r w:rsidRPr="005D72A9">
        <w:rPr>
          <w:rStyle w:val="hps"/>
        </w:rPr>
        <w:t>realizados muestran</w:t>
      </w:r>
      <w:r w:rsidRPr="005D72A9">
        <w:t xml:space="preserve"> </w:t>
      </w:r>
      <w:r w:rsidRPr="005D72A9">
        <w:rPr>
          <w:rStyle w:val="hps"/>
        </w:rPr>
        <w:t>que la interferencia</w:t>
      </w:r>
      <w:r w:rsidRPr="005D72A9">
        <w:t xml:space="preserve"> </w:t>
      </w:r>
      <w:r w:rsidRPr="005D72A9">
        <w:rPr>
          <w:rStyle w:val="hps"/>
        </w:rPr>
        <w:t>probable</w:t>
      </w:r>
      <w:r w:rsidRPr="005D72A9">
        <w:t xml:space="preserve"> </w:t>
      </w:r>
      <w:r w:rsidR="00E7472E" w:rsidRPr="005D72A9">
        <w:t xml:space="preserve">se halla </w:t>
      </w:r>
      <w:r w:rsidRPr="005D72A9">
        <w:rPr>
          <w:rStyle w:val="hps"/>
        </w:rPr>
        <w:t>dentro de los</w:t>
      </w:r>
      <w:r w:rsidRPr="005D72A9">
        <w:t xml:space="preserve"> </w:t>
      </w:r>
      <w:r w:rsidRPr="005D72A9">
        <w:rPr>
          <w:rStyle w:val="hps"/>
        </w:rPr>
        <w:t>límites inferior</w:t>
      </w:r>
      <w:r w:rsidR="00E7472E" w:rsidRPr="005D72A9">
        <w:rPr>
          <w:rStyle w:val="hps"/>
        </w:rPr>
        <w:t>es</w:t>
      </w:r>
      <w:r w:rsidRPr="005D72A9">
        <w:rPr>
          <w:rStyle w:val="hps"/>
        </w:rPr>
        <w:t xml:space="preserve"> y</w:t>
      </w:r>
      <w:r w:rsidRPr="005D72A9">
        <w:t xml:space="preserve"> </w:t>
      </w:r>
      <w:r w:rsidRPr="005D72A9">
        <w:rPr>
          <w:rStyle w:val="hps"/>
        </w:rPr>
        <w:t>no representa ningún</w:t>
      </w:r>
      <w:r w:rsidRPr="005D72A9">
        <w:t xml:space="preserve"> </w:t>
      </w:r>
      <w:r w:rsidRPr="005D72A9">
        <w:rPr>
          <w:rStyle w:val="hps"/>
        </w:rPr>
        <w:t xml:space="preserve">riesgo </w:t>
      </w:r>
      <w:r w:rsidR="00E7472E" w:rsidRPr="005D72A9">
        <w:rPr>
          <w:rStyle w:val="hps"/>
        </w:rPr>
        <w:t>factibl</w:t>
      </w:r>
      <w:r w:rsidRPr="005D72A9">
        <w:rPr>
          <w:rStyle w:val="hps"/>
        </w:rPr>
        <w:t>e</w:t>
      </w:r>
      <w:r w:rsidRPr="005D72A9">
        <w:t>.</w:t>
      </w:r>
    </w:p>
    <w:p w:rsidR="008750A8" w:rsidRPr="005D72A9" w:rsidRDefault="00897919" w:rsidP="00E7472E">
      <w:pPr>
        <w:pStyle w:val="Headingb"/>
      </w:pPr>
      <w:r w:rsidRPr="005D72A9">
        <w:t>Prop</w:t>
      </w:r>
      <w:r w:rsidR="00614AAC" w:rsidRPr="005D72A9">
        <w:t>uesta</w:t>
      </w:r>
    </w:p>
    <w:p w:rsidR="004020B2" w:rsidRPr="005D72A9" w:rsidRDefault="009E6FA0" w:rsidP="00E7472E">
      <w:pPr>
        <w:pStyle w:val="Proposal"/>
      </w:pPr>
      <w:r w:rsidRPr="005D72A9">
        <w:tab/>
        <w:t>ARB/25A26/1</w:t>
      </w:r>
    </w:p>
    <w:p w:rsidR="004020B2" w:rsidRPr="005D72A9" w:rsidRDefault="00E7472E" w:rsidP="00FC24F9">
      <w:r w:rsidRPr="005D72A9">
        <w:rPr>
          <w:rStyle w:val="hps"/>
        </w:rPr>
        <w:t>Las</w:t>
      </w:r>
      <w:r w:rsidRPr="005D72A9">
        <w:t xml:space="preserve"> </w:t>
      </w:r>
      <w:r w:rsidRPr="005D72A9">
        <w:rPr>
          <w:rStyle w:val="hps"/>
        </w:rPr>
        <w:t>administraciones de los Estados</w:t>
      </w:r>
      <w:r w:rsidRPr="005D72A9">
        <w:t xml:space="preserve"> </w:t>
      </w:r>
      <w:r w:rsidRPr="005D72A9">
        <w:rPr>
          <w:rStyle w:val="hps"/>
        </w:rPr>
        <w:t>Árabes</w:t>
      </w:r>
      <w:r w:rsidRPr="005D72A9">
        <w:t xml:space="preserve"> </w:t>
      </w:r>
      <w:r w:rsidRPr="005D72A9">
        <w:rPr>
          <w:rStyle w:val="hps"/>
        </w:rPr>
        <w:t>se declaran a favor de que se examine el cumplimiento de los</w:t>
      </w:r>
      <w:r w:rsidRPr="005D72A9">
        <w:t xml:space="preserve"> </w:t>
      </w:r>
      <w:r w:rsidRPr="005D72A9">
        <w:rPr>
          <w:rStyle w:val="hps"/>
        </w:rPr>
        <w:t>requisitos de los sistemas</w:t>
      </w:r>
      <w:r w:rsidRPr="005D72A9">
        <w:t xml:space="preserve"> </w:t>
      </w:r>
      <w:r w:rsidRPr="005D72A9">
        <w:rPr>
          <w:rStyle w:val="hps"/>
        </w:rPr>
        <w:t>de</w:t>
      </w:r>
      <w:r w:rsidRPr="005D72A9">
        <w:t xml:space="preserve"> seguimiento mundial de vuelos de la aviación civil</w:t>
      </w:r>
      <w:r w:rsidRPr="005D72A9">
        <w:rPr>
          <w:rStyle w:val="hps"/>
        </w:rPr>
        <w:t xml:space="preserve"> en</w:t>
      </w:r>
      <w:r w:rsidRPr="005D72A9">
        <w:t xml:space="preserve"> </w:t>
      </w:r>
      <w:r w:rsidRPr="005D72A9">
        <w:rPr>
          <w:rStyle w:val="hps"/>
        </w:rPr>
        <w:t>el SMAS</w:t>
      </w:r>
      <w:r w:rsidRPr="005D72A9">
        <w:t xml:space="preserve">, </w:t>
      </w:r>
      <w:r w:rsidRPr="005D72A9">
        <w:rPr>
          <w:rStyle w:val="hps"/>
        </w:rPr>
        <w:t>incluida</w:t>
      </w:r>
      <w:r w:rsidRPr="005D72A9">
        <w:t xml:space="preserve"> </w:t>
      </w:r>
      <w:r w:rsidRPr="005D72A9">
        <w:rPr>
          <w:rStyle w:val="hps"/>
        </w:rPr>
        <w:t>la posibilidad de identificar</w:t>
      </w:r>
      <w:r w:rsidRPr="005D72A9">
        <w:t xml:space="preserve"> </w:t>
      </w:r>
      <w:r w:rsidRPr="005D72A9">
        <w:rPr>
          <w:rStyle w:val="hps"/>
        </w:rPr>
        <w:t>una banda de</w:t>
      </w:r>
      <w:r w:rsidRPr="005D72A9">
        <w:t xml:space="preserve"> </w:t>
      </w:r>
      <w:r w:rsidRPr="005D72A9">
        <w:rPr>
          <w:rStyle w:val="hps"/>
        </w:rPr>
        <w:t>frecuencias adecuada</w:t>
      </w:r>
      <w:r w:rsidRPr="005D72A9">
        <w:t xml:space="preserve"> </w:t>
      </w:r>
      <w:r w:rsidRPr="005D72A9">
        <w:rPr>
          <w:rStyle w:val="hps"/>
        </w:rPr>
        <w:t>para estos sistemas.</w:t>
      </w:r>
    </w:p>
    <w:p w:rsidR="00430B92" w:rsidRPr="005D72A9" w:rsidRDefault="00430B92" w:rsidP="0032202E">
      <w:pPr>
        <w:pStyle w:val="Reasons"/>
      </w:pPr>
    </w:p>
    <w:p w:rsidR="00430B92" w:rsidRPr="005D72A9" w:rsidRDefault="00430B92">
      <w:pPr>
        <w:jc w:val="center"/>
      </w:pPr>
      <w:r w:rsidRPr="005D72A9">
        <w:t>______________</w:t>
      </w:r>
    </w:p>
    <w:sectPr w:rsidR="00430B92" w:rsidRPr="005D72A9">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FC24F9" w:rsidRDefault="0077084A">
    <w:pPr>
      <w:ind w:right="360"/>
    </w:pPr>
    <w:r>
      <w:fldChar w:fldCharType="begin"/>
    </w:r>
    <w:r w:rsidRPr="00FC24F9">
      <w:instrText xml:space="preserve"> FILENAME \p  \* MERGEFORMAT </w:instrText>
    </w:r>
    <w:r>
      <w:fldChar w:fldCharType="separate"/>
    </w:r>
    <w:r w:rsidR="00FC24F9" w:rsidRPr="00FC24F9">
      <w:rPr>
        <w:noProof/>
      </w:rPr>
      <w:t>P:\ESP\ITU-R\CONF-R\CMR15\000\025ADD26S.docx</w:t>
    </w:r>
    <w:r>
      <w:fldChar w:fldCharType="end"/>
    </w:r>
    <w:r w:rsidRPr="00FC24F9">
      <w:tab/>
    </w:r>
    <w:r>
      <w:fldChar w:fldCharType="begin"/>
    </w:r>
    <w:r>
      <w:instrText xml:space="preserve"> SAVEDATE \@ DD.MM.YY </w:instrText>
    </w:r>
    <w:r>
      <w:fldChar w:fldCharType="separate"/>
    </w:r>
    <w:r w:rsidR="00FC24F9">
      <w:rPr>
        <w:noProof/>
      </w:rPr>
      <w:t>25.10.15</w:t>
    </w:r>
    <w:r>
      <w:fldChar w:fldCharType="end"/>
    </w:r>
    <w:r w:rsidRPr="00FC24F9">
      <w:tab/>
    </w:r>
    <w:r>
      <w:fldChar w:fldCharType="begin"/>
    </w:r>
    <w:r>
      <w:instrText xml:space="preserve"> PRINTDATE \@ DD.MM.YY </w:instrText>
    </w:r>
    <w:r>
      <w:fldChar w:fldCharType="separate"/>
    </w:r>
    <w:r w:rsidR="00FC24F9">
      <w:rPr>
        <w:noProof/>
      </w:rPr>
      <w:t>25.10.15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1B0" w:rsidRDefault="005461B0" w:rsidP="005461B0">
    <w:pPr>
      <w:pStyle w:val="Footer"/>
    </w:pPr>
    <w:r>
      <w:rPr>
        <w:noProof w:val="0"/>
        <w:sz w:val="24"/>
      </w:rPr>
      <w:fldChar w:fldCharType="begin"/>
    </w:r>
    <w:r>
      <w:instrText xml:space="preserve"> FILENAME \p  \* MERGEFORMAT </w:instrText>
    </w:r>
    <w:r>
      <w:rPr>
        <w:noProof w:val="0"/>
        <w:sz w:val="24"/>
      </w:rPr>
      <w:fldChar w:fldCharType="separate"/>
    </w:r>
    <w:r w:rsidR="00FC24F9">
      <w:t>P:\ESP\ITU-R\CONF-R\CMR15\000\025ADD26S.docx</w:t>
    </w:r>
    <w:r>
      <w:fldChar w:fldCharType="end"/>
    </w:r>
    <w:r>
      <w:t xml:space="preserve"> (386886)</w:t>
    </w:r>
    <w:r>
      <w:tab/>
    </w:r>
    <w:r>
      <w:fldChar w:fldCharType="begin"/>
    </w:r>
    <w:r>
      <w:instrText xml:space="preserve"> SAVEDATE \@ DD.MM.YY </w:instrText>
    </w:r>
    <w:r>
      <w:fldChar w:fldCharType="separate"/>
    </w:r>
    <w:r w:rsidR="00FC24F9">
      <w:t>25.10.15</w:t>
    </w:r>
    <w:r>
      <w:fldChar w:fldCharType="end"/>
    </w:r>
    <w:r>
      <w:tab/>
    </w:r>
    <w:r>
      <w:fldChar w:fldCharType="begin"/>
    </w:r>
    <w:r>
      <w:instrText xml:space="preserve"> PRINTDATE \@ DD.MM.YY </w:instrText>
    </w:r>
    <w:r>
      <w:fldChar w:fldCharType="separate"/>
    </w:r>
    <w:r w:rsidR="00FC24F9">
      <w:t>25.10.15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1B0" w:rsidRDefault="005461B0">
    <w:pPr>
      <w:pStyle w:val="Footer"/>
    </w:pPr>
    <w:fldSimple w:instr=" FILENAME \p  \* MERGEFORMAT ">
      <w:r w:rsidR="00FC24F9">
        <w:t>P:\ESP\ITU-R\CONF-R\CMR15\000\025ADD26S.docx</w:t>
      </w:r>
    </w:fldSimple>
    <w:r>
      <w:t xml:space="preserve"> (386886)</w:t>
    </w:r>
    <w:r>
      <w:tab/>
    </w:r>
    <w:r>
      <w:fldChar w:fldCharType="begin"/>
    </w:r>
    <w:r>
      <w:instrText xml:space="preserve"> SAVEDATE \@ DD.MM.YY </w:instrText>
    </w:r>
    <w:r>
      <w:fldChar w:fldCharType="separate"/>
    </w:r>
    <w:r w:rsidR="00FC24F9">
      <w:t>25.10.15</w:t>
    </w:r>
    <w:r>
      <w:fldChar w:fldCharType="end"/>
    </w:r>
    <w:r>
      <w:tab/>
    </w:r>
    <w:r>
      <w:fldChar w:fldCharType="begin"/>
    </w:r>
    <w:r>
      <w:instrText xml:space="preserve"> PRINTDATE \@ DD.MM.YY </w:instrText>
    </w:r>
    <w:r>
      <w:fldChar w:fldCharType="separate"/>
    </w:r>
    <w:r w:rsidR="00FC24F9">
      <w:t>25.10.15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C24F9">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25(Add.26)-</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E6220"/>
    <w:rsid w:val="000F0E6D"/>
    <w:rsid w:val="001122FB"/>
    <w:rsid w:val="00121170"/>
    <w:rsid w:val="00123CC5"/>
    <w:rsid w:val="0015142D"/>
    <w:rsid w:val="001616DC"/>
    <w:rsid w:val="00163962"/>
    <w:rsid w:val="00191A97"/>
    <w:rsid w:val="001A083F"/>
    <w:rsid w:val="001A3EBA"/>
    <w:rsid w:val="001C41FA"/>
    <w:rsid w:val="001E2B52"/>
    <w:rsid w:val="001E3F27"/>
    <w:rsid w:val="00236D2A"/>
    <w:rsid w:val="00255F12"/>
    <w:rsid w:val="00262C09"/>
    <w:rsid w:val="00292BAC"/>
    <w:rsid w:val="002A791F"/>
    <w:rsid w:val="002C1B26"/>
    <w:rsid w:val="002C5D6C"/>
    <w:rsid w:val="002E701F"/>
    <w:rsid w:val="003015FD"/>
    <w:rsid w:val="003248A9"/>
    <w:rsid w:val="00324FFA"/>
    <w:rsid w:val="0032680B"/>
    <w:rsid w:val="0033170C"/>
    <w:rsid w:val="00363A65"/>
    <w:rsid w:val="003B1E8C"/>
    <w:rsid w:val="003B5CC8"/>
    <w:rsid w:val="003C2508"/>
    <w:rsid w:val="003D0AA3"/>
    <w:rsid w:val="00400251"/>
    <w:rsid w:val="004020B2"/>
    <w:rsid w:val="00430B92"/>
    <w:rsid w:val="004367D9"/>
    <w:rsid w:val="00440B3A"/>
    <w:rsid w:val="0045384C"/>
    <w:rsid w:val="00454553"/>
    <w:rsid w:val="00474130"/>
    <w:rsid w:val="00493C32"/>
    <w:rsid w:val="004B124A"/>
    <w:rsid w:val="005133B5"/>
    <w:rsid w:val="0051407C"/>
    <w:rsid w:val="00532097"/>
    <w:rsid w:val="005461B0"/>
    <w:rsid w:val="0058350F"/>
    <w:rsid w:val="00583C7E"/>
    <w:rsid w:val="00590132"/>
    <w:rsid w:val="005D46FB"/>
    <w:rsid w:val="005D72A9"/>
    <w:rsid w:val="005F2605"/>
    <w:rsid w:val="005F3B0E"/>
    <w:rsid w:val="005F559C"/>
    <w:rsid w:val="00614AAC"/>
    <w:rsid w:val="006168AC"/>
    <w:rsid w:val="00660488"/>
    <w:rsid w:val="00662BA0"/>
    <w:rsid w:val="00692AAE"/>
    <w:rsid w:val="006D6E67"/>
    <w:rsid w:val="006E1A13"/>
    <w:rsid w:val="00701C20"/>
    <w:rsid w:val="00702F3D"/>
    <w:rsid w:val="0070518E"/>
    <w:rsid w:val="007354E9"/>
    <w:rsid w:val="00761FFC"/>
    <w:rsid w:val="00765578"/>
    <w:rsid w:val="0077084A"/>
    <w:rsid w:val="007952C7"/>
    <w:rsid w:val="007C0B95"/>
    <w:rsid w:val="007C2317"/>
    <w:rsid w:val="007D330A"/>
    <w:rsid w:val="00866AE6"/>
    <w:rsid w:val="008750A8"/>
    <w:rsid w:val="00897919"/>
    <w:rsid w:val="008E5AF2"/>
    <w:rsid w:val="0090121B"/>
    <w:rsid w:val="009144C9"/>
    <w:rsid w:val="00914D4F"/>
    <w:rsid w:val="0094091F"/>
    <w:rsid w:val="00973754"/>
    <w:rsid w:val="00984F82"/>
    <w:rsid w:val="00994600"/>
    <w:rsid w:val="009C0BED"/>
    <w:rsid w:val="009E11EC"/>
    <w:rsid w:val="009E6FA0"/>
    <w:rsid w:val="00A118DB"/>
    <w:rsid w:val="00A4450C"/>
    <w:rsid w:val="00AA5E6C"/>
    <w:rsid w:val="00AE5677"/>
    <w:rsid w:val="00AE658F"/>
    <w:rsid w:val="00AF2F78"/>
    <w:rsid w:val="00B239FA"/>
    <w:rsid w:val="00B52D55"/>
    <w:rsid w:val="00B8288C"/>
    <w:rsid w:val="00BE2E80"/>
    <w:rsid w:val="00BE5EDD"/>
    <w:rsid w:val="00BE6A1F"/>
    <w:rsid w:val="00C126C4"/>
    <w:rsid w:val="00C63EB5"/>
    <w:rsid w:val="00C7064E"/>
    <w:rsid w:val="00CC01E0"/>
    <w:rsid w:val="00CD5FEE"/>
    <w:rsid w:val="00CE60D2"/>
    <w:rsid w:val="00CE7431"/>
    <w:rsid w:val="00D0288A"/>
    <w:rsid w:val="00D349E4"/>
    <w:rsid w:val="00D72A5D"/>
    <w:rsid w:val="00D86C39"/>
    <w:rsid w:val="00DC629B"/>
    <w:rsid w:val="00DF281C"/>
    <w:rsid w:val="00E05BFF"/>
    <w:rsid w:val="00E262F1"/>
    <w:rsid w:val="00E3176A"/>
    <w:rsid w:val="00E54754"/>
    <w:rsid w:val="00E56BD3"/>
    <w:rsid w:val="00E71D14"/>
    <w:rsid w:val="00E7472E"/>
    <w:rsid w:val="00E80303"/>
    <w:rsid w:val="00EB628B"/>
    <w:rsid w:val="00ED49D9"/>
    <w:rsid w:val="00F66597"/>
    <w:rsid w:val="00F675D0"/>
    <w:rsid w:val="00F8150C"/>
    <w:rsid w:val="00FC24F9"/>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897FFF4-736A-4724-94AD-2820066AF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styleId="BalloonText">
    <w:name w:val="Balloon Text"/>
    <w:basedOn w:val="Normal"/>
    <w:link w:val="BalloonTextChar"/>
    <w:semiHidden/>
    <w:unhideWhenUsed/>
    <w:rsid w:val="006168A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168AC"/>
    <w:rPr>
      <w:rFonts w:ascii="Segoe UI" w:hAnsi="Segoe UI" w:cs="Segoe UI"/>
      <w:sz w:val="18"/>
      <w:szCs w:val="18"/>
      <w:lang w:val="es-ES_tradnl" w:eastAsia="en-US"/>
    </w:rPr>
  </w:style>
  <w:style w:type="character" w:customStyle="1" w:styleId="hps">
    <w:name w:val="hps"/>
    <w:basedOn w:val="DefaultParagraphFont"/>
    <w:rsid w:val="00DF281C"/>
  </w:style>
  <w:style w:type="character" w:customStyle="1" w:styleId="atn">
    <w:name w:val="atn"/>
    <w:basedOn w:val="DefaultParagraphFont"/>
    <w:rsid w:val="00DF2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491325">
      <w:bodyDiv w:val="1"/>
      <w:marLeft w:val="0"/>
      <w:marRight w:val="0"/>
      <w:marTop w:val="0"/>
      <w:marBottom w:val="0"/>
      <w:divBdr>
        <w:top w:val="none" w:sz="0" w:space="0" w:color="auto"/>
        <w:left w:val="none" w:sz="0" w:space="0" w:color="auto"/>
        <w:bottom w:val="none" w:sz="0" w:space="0" w:color="auto"/>
        <w:right w:val="none" w:sz="0" w:space="0" w:color="auto"/>
      </w:divBdr>
      <w:divsChild>
        <w:div w:id="1148131973">
          <w:marLeft w:val="0"/>
          <w:marRight w:val="0"/>
          <w:marTop w:val="0"/>
          <w:marBottom w:val="0"/>
          <w:divBdr>
            <w:top w:val="none" w:sz="0" w:space="0" w:color="auto"/>
            <w:left w:val="none" w:sz="0" w:space="0" w:color="auto"/>
            <w:bottom w:val="none" w:sz="0" w:space="0" w:color="auto"/>
            <w:right w:val="none" w:sz="0" w:space="0" w:color="auto"/>
          </w:divBdr>
          <w:divsChild>
            <w:div w:id="10004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R15-WRC15-C-0025!A26!MSW-S</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4FB6F-9EE7-4852-9874-F5C5C6A8F960}">
  <ds:schemaRefs>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http://schemas.microsoft.com/office/2006/documentManagement/types"/>
    <ds:schemaRef ds:uri="996b2e75-67fd-4955-a3b0-5ab9934cb50b"/>
    <ds:schemaRef ds:uri="http://purl.org/dc/terms/"/>
    <ds:schemaRef ds:uri="http://purl.org/dc/dcmitype/"/>
    <ds:schemaRef ds:uri="32a1a8c5-2265-4ebc-b7a0-2071e2c5c9bb"/>
    <ds:schemaRef ds:uri="http://www.w3.org/XML/1998/namespace"/>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BBE541CF-469D-4C04-9339-C2EE14475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634</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R15-WRC15-C-0025!A26!MSW-S</vt:lpstr>
    </vt:vector>
  </TitlesOfParts>
  <Manager>Secretaría General - Pool</Manager>
  <Company>Unión Internacional de Telecomunicaciones (UIT)</Company>
  <LinksUpToDate>false</LinksUpToDate>
  <CharactersWithSpaces>4094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R15-WRC15-C-0025!A26!MSW-S</dc:title>
  <dc:subject>Conferencia Mundial de Radiocomunicaciones - 2015</dc:subject>
  <dc:creator>Documents Proposals Manager (DPM)</dc:creator>
  <cp:keywords>DPM_v5.2015.10.220_prod</cp:keywords>
  <dc:description/>
  <cp:lastModifiedBy>Spanish</cp:lastModifiedBy>
  <cp:revision>4</cp:revision>
  <cp:lastPrinted>2015-10-25T15:44:00Z</cp:lastPrinted>
  <dcterms:created xsi:type="dcterms:W3CDTF">2015-10-25T15:42:00Z</dcterms:created>
  <dcterms:modified xsi:type="dcterms:W3CDTF">2015-10-25T15:44:00Z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