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rsidTr="007A53BA">
        <w:trPr>
          <w:cantSplit/>
        </w:trPr>
        <w:tc>
          <w:tcPr>
            <w:tcW w:w="680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2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5207820A" wp14:editId="0514885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7A53BA">
        <w:trPr>
          <w:cantSplit/>
        </w:trPr>
        <w:tc>
          <w:tcPr>
            <w:tcW w:w="680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2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7A53BA">
        <w:trPr>
          <w:cantSplit/>
        </w:trPr>
        <w:tc>
          <w:tcPr>
            <w:tcW w:w="680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7A53BA">
        <w:trPr>
          <w:cantSplit/>
          <w:trHeight w:val="23"/>
        </w:trPr>
        <w:tc>
          <w:tcPr>
            <w:tcW w:w="6804"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shd w:val="clear" w:color="auto" w:fill="auto"/>
          </w:tcPr>
          <w:p w:rsidR="00622560" w:rsidRPr="00622560" w:rsidRDefault="000273B7" w:rsidP="005F6F33">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25(Add.23)</w:t>
            </w:r>
            <w:r w:rsidR="007A53BA">
              <w:rPr>
                <w:rFonts w:ascii="Verdana" w:hAnsi="Verdana" w:cs="Traditional Arabic"/>
                <w:b/>
                <w:sz w:val="20"/>
              </w:rPr>
              <w:t>(Add.2)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7A53BA">
        <w:trPr>
          <w:cantSplit/>
          <w:trHeight w:val="23"/>
        </w:trPr>
        <w:tc>
          <w:tcPr>
            <w:tcW w:w="6804" w:type="dxa"/>
            <w:shd w:val="clear" w:color="auto" w:fill="auto"/>
          </w:tcPr>
          <w:p w:rsidR="008221A4" w:rsidRPr="00C324A8" w:rsidRDefault="008221A4" w:rsidP="00A466E6">
            <w:pPr>
              <w:spacing w:before="0"/>
              <w:rPr>
                <w:rFonts w:ascii="Verdana" w:hAnsi="Verdana"/>
                <w:b/>
                <w:smallCaps/>
                <w:sz w:val="20"/>
              </w:rPr>
            </w:pPr>
          </w:p>
        </w:tc>
        <w:tc>
          <w:tcPr>
            <w:tcW w:w="322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7A53BA">
        <w:trPr>
          <w:cantSplit/>
          <w:trHeight w:val="23"/>
        </w:trPr>
        <w:tc>
          <w:tcPr>
            <w:tcW w:w="6804" w:type="dxa"/>
          </w:tcPr>
          <w:p w:rsidR="008221A4" w:rsidRPr="00CB4E5A" w:rsidRDefault="008221A4" w:rsidP="00A466E6">
            <w:pPr>
              <w:spacing w:before="0"/>
              <w:rPr>
                <w:rFonts w:ascii="Verdana" w:hAnsi="Verdana"/>
                <w:b/>
                <w:bCs/>
                <w:sz w:val="20"/>
              </w:rPr>
            </w:pPr>
          </w:p>
        </w:tc>
        <w:tc>
          <w:tcPr>
            <w:tcW w:w="3227"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Default="00345DDA" w:rsidP="008221A4">
            <w:pPr>
              <w:pStyle w:val="Title1"/>
            </w:pPr>
            <w:bookmarkStart w:id="5" w:name="dtitle1" w:colFirst="0" w:colLast="0"/>
            <w:bookmarkEnd w:id="4"/>
            <w:r w:rsidRPr="00345DDA">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9.2(9.2.2)</w:t>
            </w:r>
          </w:p>
        </w:tc>
      </w:tr>
    </w:tbl>
    <w:bookmarkEnd w:id="7"/>
    <w:p w:rsidR="008B60D0" w:rsidRPr="00676FBA" w:rsidRDefault="00396A28" w:rsidP="00E3663A">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8B60D0" w:rsidRPr="00511EB4" w:rsidRDefault="00396A28" w:rsidP="00511EB4">
      <w:pPr>
        <w:rPr>
          <w:color w:val="000000"/>
          <w:lang w:eastAsia="zh-CN"/>
        </w:rPr>
      </w:pPr>
      <w:r w:rsidRPr="009C33AA">
        <w:rPr>
          <w:color w:val="000000"/>
          <w:lang w:eastAsia="zh-CN"/>
        </w:rPr>
        <w:t>9.2</w:t>
      </w:r>
      <w:r w:rsidRPr="009C33AA">
        <w:rPr>
          <w:color w:val="000000"/>
          <w:lang w:eastAsia="zh-CN"/>
        </w:rPr>
        <w:tab/>
      </w:r>
      <w:r w:rsidRPr="009C33AA">
        <w:rPr>
          <w:rFonts w:hint="eastAsia"/>
          <w:color w:val="000000"/>
          <w:lang w:eastAsia="zh-CN"/>
        </w:rPr>
        <w:t>应用《无线电规则》过程中遇到的任何困难或矛盾之处；以及</w:t>
      </w:r>
    </w:p>
    <w:p w:rsidR="008B60D0" w:rsidRPr="00BB27C6" w:rsidRDefault="00396A28" w:rsidP="00B828EF">
      <w:pPr>
        <w:rPr>
          <w:lang w:eastAsia="zh-CN"/>
        </w:rPr>
      </w:pPr>
      <w:r w:rsidRPr="009C33AA">
        <w:rPr>
          <w:color w:val="000000"/>
          <w:lang w:eastAsia="zh-CN"/>
        </w:rPr>
        <w:t>9.2</w:t>
      </w:r>
      <w:r>
        <w:rPr>
          <w:color w:val="000000"/>
          <w:lang w:eastAsia="zh-CN"/>
        </w:rPr>
        <w:t>(9.2.2)</w:t>
      </w:r>
      <w:r w:rsidRPr="009C33AA">
        <w:rPr>
          <w:color w:val="000000"/>
          <w:lang w:eastAsia="zh-CN"/>
        </w:rPr>
        <w:tab/>
      </w:r>
      <w:r w:rsidRPr="007E0726">
        <w:rPr>
          <w:rFonts w:ascii="SimSun" w:hAnsi="SimSun" w:hint="eastAsia"/>
          <w:lang w:eastAsia="zh-CN"/>
        </w:rPr>
        <w:t>澄清《无</w:t>
      </w:r>
      <w:r w:rsidRPr="007E0726">
        <w:rPr>
          <w:rFonts w:ascii="SimSun" w:hAnsi="SimSun" w:cs="Microsoft YaHei" w:hint="eastAsia"/>
          <w:lang w:eastAsia="zh-CN"/>
        </w:rPr>
        <w:t>线电规则</w:t>
      </w:r>
      <w:r w:rsidRPr="007E0726">
        <w:rPr>
          <w:rFonts w:ascii="SimSun" w:hAnsi="SimSun" w:cs="MS Mincho" w:hint="eastAsia"/>
          <w:lang w:eastAsia="zh-CN"/>
        </w:rPr>
        <w:t>》某些条款中与深空划分有关的使用</w:t>
      </w:r>
    </w:p>
    <w:p w:rsidR="00622560" w:rsidRDefault="00622560" w:rsidP="0083672D">
      <w:pPr>
        <w:rPr>
          <w:lang w:eastAsia="zh-CN"/>
        </w:rPr>
      </w:pPr>
    </w:p>
    <w:p w:rsidR="005C2823" w:rsidRPr="007F255E" w:rsidRDefault="005C2823" w:rsidP="005C2823">
      <w:pPr>
        <w:pStyle w:val="Headingb"/>
        <w:rPr>
          <w:lang w:eastAsia="zh-CN"/>
        </w:rPr>
      </w:pPr>
      <w:r>
        <w:rPr>
          <w:rFonts w:hint="eastAsia"/>
          <w:lang w:eastAsia="zh-CN"/>
        </w:rPr>
        <w:t>引言</w:t>
      </w:r>
    </w:p>
    <w:p w:rsidR="0061720B" w:rsidRDefault="007A53BA" w:rsidP="00BE7476">
      <w:pPr>
        <w:ind w:firstLineChars="200" w:firstLine="480"/>
        <w:rPr>
          <w:lang w:eastAsia="zh-CN"/>
        </w:rPr>
      </w:pPr>
      <w:r>
        <w:rPr>
          <w:rFonts w:hint="eastAsia"/>
          <w:lang w:eastAsia="zh-CN"/>
        </w:rPr>
        <w:t>该议项</w:t>
      </w:r>
      <w:r>
        <w:rPr>
          <w:lang w:eastAsia="zh-CN"/>
        </w:rPr>
        <w:t>试图澄清《</w:t>
      </w:r>
      <w:r>
        <w:rPr>
          <w:rFonts w:hint="eastAsia"/>
          <w:lang w:eastAsia="zh-CN"/>
        </w:rPr>
        <w:t>无线电</w:t>
      </w:r>
      <w:r>
        <w:rPr>
          <w:lang w:eastAsia="zh-CN"/>
        </w:rPr>
        <w:t>规则》</w:t>
      </w:r>
      <w:r>
        <w:rPr>
          <w:rFonts w:hint="eastAsia"/>
          <w:lang w:eastAsia="zh-CN"/>
        </w:rPr>
        <w:t>某些</w:t>
      </w:r>
      <w:r>
        <w:rPr>
          <w:lang w:eastAsia="zh-CN"/>
        </w:rPr>
        <w:t>条款</w:t>
      </w:r>
      <w:r w:rsidR="00EC466D">
        <w:rPr>
          <w:rFonts w:hint="eastAsia"/>
          <w:lang w:eastAsia="zh-CN"/>
        </w:rPr>
        <w:t>规定</w:t>
      </w:r>
      <w:r>
        <w:rPr>
          <w:lang w:eastAsia="zh-CN"/>
        </w:rPr>
        <w:t>的</w:t>
      </w:r>
      <w:r>
        <w:rPr>
          <w:rFonts w:hint="eastAsia"/>
          <w:lang w:eastAsia="zh-CN"/>
        </w:rPr>
        <w:t>SRS</w:t>
      </w:r>
      <w:r>
        <w:rPr>
          <w:rFonts w:hint="eastAsia"/>
          <w:lang w:eastAsia="zh-CN"/>
        </w:rPr>
        <w:t>（深空</w:t>
      </w:r>
      <w:r>
        <w:rPr>
          <w:lang w:eastAsia="zh-CN"/>
        </w:rPr>
        <w:t>）</w:t>
      </w:r>
      <w:r>
        <w:rPr>
          <w:rFonts w:hint="eastAsia"/>
          <w:lang w:eastAsia="zh-CN"/>
        </w:rPr>
        <w:t>划分</w:t>
      </w:r>
      <w:r>
        <w:rPr>
          <w:lang w:eastAsia="zh-CN"/>
        </w:rPr>
        <w:t>的使用。</w:t>
      </w:r>
      <w:r w:rsidR="0061720B" w:rsidRPr="0061720B">
        <w:rPr>
          <w:rFonts w:hint="eastAsia"/>
          <w:lang w:eastAsia="zh-CN"/>
        </w:rPr>
        <w:t>与议项</w:t>
      </w:r>
      <w:r w:rsidR="0061720B" w:rsidRPr="0061720B">
        <w:rPr>
          <w:rFonts w:hint="eastAsia"/>
          <w:lang w:eastAsia="zh-CN"/>
        </w:rPr>
        <w:t>1.9.1</w:t>
      </w:r>
      <w:r w:rsidR="0061720B" w:rsidRPr="0061720B">
        <w:rPr>
          <w:rFonts w:hint="eastAsia"/>
          <w:lang w:eastAsia="zh-CN"/>
        </w:rPr>
        <w:t>有关的</w:t>
      </w:r>
      <w:r w:rsidR="0061720B" w:rsidRPr="0061720B">
        <w:rPr>
          <w:rFonts w:hint="eastAsia"/>
          <w:lang w:eastAsia="zh-CN"/>
        </w:rPr>
        <w:t>ITU-R</w:t>
      </w:r>
      <w:r w:rsidR="0061720B" w:rsidRPr="0061720B">
        <w:rPr>
          <w:rFonts w:hint="eastAsia"/>
          <w:lang w:eastAsia="zh-CN"/>
        </w:rPr>
        <w:t>研究审查了</w:t>
      </w:r>
      <w:r>
        <w:rPr>
          <w:rFonts w:hint="eastAsia"/>
          <w:lang w:eastAsia="zh-CN"/>
        </w:rPr>
        <w:t>《无线电规则</w:t>
      </w:r>
      <w:r>
        <w:rPr>
          <w:lang w:eastAsia="zh-CN"/>
        </w:rPr>
        <w:t>》</w:t>
      </w:r>
      <w:r w:rsidR="0061720B" w:rsidRPr="0061720B">
        <w:rPr>
          <w:rFonts w:hint="eastAsia"/>
          <w:lang w:eastAsia="zh-CN"/>
        </w:rPr>
        <w:t>第</w:t>
      </w:r>
      <w:r w:rsidR="0061720B" w:rsidRPr="0061720B">
        <w:rPr>
          <w:rFonts w:hint="eastAsia"/>
          <w:lang w:eastAsia="zh-CN"/>
        </w:rPr>
        <w:t>5</w:t>
      </w:r>
      <w:r w:rsidR="0061720B" w:rsidRPr="0061720B">
        <w:rPr>
          <w:rFonts w:hint="eastAsia"/>
          <w:lang w:eastAsia="zh-CN"/>
        </w:rPr>
        <w:t>条脚注</w:t>
      </w:r>
      <w:r w:rsidR="0061720B" w:rsidRPr="0061720B">
        <w:rPr>
          <w:rFonts w:hint="eastAsia"/>
          <w:lang w:eastAsia="zh-CN"/>
        </w:rPr>
        <w:t>5.460</w:t>
      </w:r>
      <w:r w:rsidR="0061720B" w:rsidRPr="0061720B">
        <w:rPr>
          <w:rFonts w:hint="eastAsia"/>
          <w:lang w:eastAsia="zh-CN"/>
        </w:rPr>
        <w:t>和</w:t>
      </w:r>
      <w:r w:rsidR="0061720B" w:rsidRPr="0061720B">
        <w:rPr>
          <w:rFonts w:hint="eastAsia"/>
          <w:lang w:eastAsia="zh-CN"/>
        </w:rPr>
        <w:t>5.465</w:t>
      </w:r>
      <w:r>
        <w:rPr>
          <w:rFonts w:hint="eastAsia"/>
          <w:lang w:eastAsia="zh-CN"/>
        </w:rPr>
        <w:t>中当航天器在近地使用深空划分时，与</w:t>
      </w:r>
      <w:r>
        <w:rPr>
          <w:rFonts w:hint="eastAsia"/>
          <w:lang w:eastAsia="zh-CN"/>
        </w:rPr>
        <w:t>SRS</w:t>
      </w:r>
      <w:r>
        <w:rPr>
          <w:rFonts w:hint="eastAsia"/>
          <w:lang w:eastAsia="zh-CN"/>
        </w:rPr>
        <w:t>（深空</w:t>
      </w:r>
      <w:r>
        <w:rPr>
          <w:lang w:eastAsia="zh-CN"/>
        </w:rPr>
        <w:t>）</w:t>
      </w:r>
      <w:r>
        <w:rPr>
          <w:rFonts w:hint="eastAsia"/>
          <w:lang w:eastAsia="zh-CN"/>
        </w:rPr>
        <w:t>划分使用相</w:t>
      </w:r>
      <w:r w:rsidR="0061720B" w:rsidRPr="0061720B">
        <w:rPr>
          <w:rFonts w:hint="eastAsia"/>
          <w:lang w:eastAsia="zh-CN"/>
        </w:rPr>
        <w:t>关的影响问题。研究得出结论，应修订空间研究业务（</w:t>
      </w:r>
      <w:r w:rsidR="0061720B" w:rsidRPr="0061720B">
        <w:rPr>
          <w:rFonts w:hint="eastAsia"/>
          <w:lang w:eastAsia="zh-CN"/>
        </w:rPr>
        <w:t>SRS</w:t>
      </w:r>
      <w:r w:rsidR="0061720B" w:rsidRPr="0061720B">
        <w:rPr>
          <w:rFonts w:hint="eastAsia"/>
          <w:lang w:eastAsia="zh-CN"/>
        </w:rPr>
        <w:t>）的定义并对脚注进行</w:t>
      </w:r>
      <w:r>
        <w:rPr>
          <w:rFonts w:hint="eastAsia"/>
          <w:lang w:eastAsia="zh-CN"/>
        </w:rPr>
        <w:t>相应</w:t>
      </w:r>
      <w:r w:rsidR="0061720B" w:rsidRPr="0061720B">
        <w:rPr>
          <w:rFonts w:hint="eastAsia"/>
          <w:lang w:eastAsia="zh-CN"/>
        </w:rPr>
        <w:t>修订。特委会</w:t>
      </w:r>
      <w:r w:rsidR="00BE7476">
        <w:rPr>
          <w:rFonts w:hint="eastAsia"/>
          <w:lang w:eastAsia="zh-CN"/>
        </w:rPr>
        <w:t>（</w:t>
      </w:r>
      <w:r w:rsidR="00BE7476">
        <w:rPr>
          <w:rFonts w:hint="eastAsia"/>
          <w:lang w:eastAsia="zh-CN"/>
        </w:rPr>
        <w:t>SC</w:t>
      </w:r>
      <w:r w:rsidR="00BE7476">
        <w:rPr>
          <w:lang w:eastAsia="zh-CN"/>
        </w:rPr>
        <w:t>）</w:t>
      </w:r>
      <w:r w:rsidR="0061720B" w:rsidRPr="0061720B">
        <w:rPr>
          <w:rFonts w:hint="eastAsia"/>
          <w:lang w:eastAsia="zh-CN"/>
        </w:rPr>
        <w:t>将该问题界定为应在议项</w:t>
      </w:r>
      <w:r w:rsidR="0061720B" w:rsidRPr="0061720B">
        <w:rPr>
          <w:rFonts w:hint="eastAsia"/>
          <w:lang w:eastAsia="zh-CN"/>
        </w:rPr>
        <w:t>9.2</w:t>
      </w:r>
      <w:r w:rsidR="0061720B" w:rsidRPr="0061720B">
        <w:rPr>
          <w:rFonts w:hint="eastAsia"/>
          <w:lang w:eastAsia="zh-CN"/>
        </w:rPr>
        <w:t>下解决的问题。</w:t>
      </w:r>
    </w:p>
    <w:p w:rsidR="0061720B" w:rsidRDefault="0061720B" w:rsidP="005F6F33">
      <w:pPr>
        <w:ind w:firstLineChars="200" w:firstLine="480"/>
        <w:rPr>
          <w:lang w:eastAsia="zh-CN"/>
        </w:rPr>
      </w:pPr>
      <w:r w:rsidRPr="0061720B">
        <w:rPr>
          <w:rFonts w:hint="eastAsia"/>
          <w:lang w:eastAsia="zh-CN"/>
        </w:rPr>
        <w:t>在审查《无线电规则》</w:t>
      </w:r>
      <w:r w:rsidR="00BE7476">
        <w:rPr>
          <w:rFonts w:hint="eastAsia"/>
          <w:lang w:eastAsia="zh-CN"/>
        </w:rPr>
        <w:t>第</w:t>
      </w:r>
      <w:r w:rsidR="00BE7476">
        <w:rPr>
          <w:rFonts w:hint="eastAsia"/>
          <w:lang w:eastAsia="zh-CN"/>
        </w:rPr>
        <w:t>5</w:t>
      </w:r>
      <w:r w:rsidR="00BE7476">
        <w:rPr>
          <w:rFonts w:hint="eastAsia"/>
          <w:lang w:eastAsia="zh-CN"/>
        </w:rPr>
        <w:t>条</w:t>
      </w:r>
      <w:r w:rsidRPr="0061720B">
        <w:rPr>
          <w:rFonts w:hint="eastAsia"/>
          <w:lang w:eastAsia="zh-CN"/>
        </w:rPr>
        <w:t>第</w:t>
      </w:r>
      <w:r w:rsidRPr="0061720B">
        <w:rPr>
          <w:rFonts w:hint="eastAsia"/>
          <w:lang w:eastAsia="zh-CN"/>
        </w:rPr>
        <w:t>5.460</w:t>
      </w:r>
      <w:r w:rsidRPr="0061720B">
        <w:rPr>
          <w:rFonts w:hint="eastAsia"/>
          <w:lang w:eastAsia="zh-CN"/>
        </w:rPr>
        <w:t>和</w:t>
      </w:r>
      <w:r w:rsidRPr="0061720B">
        <w:rPr>
          <w:rFonts w:hint="eastAsia"/>
          <w:lang w:eastAsia="zh-CN"/>
        </w:rPr>
        <w:t>5.465</w:t>
      </w:r>
      <w:r w:rsidRPr="0061720B">
        <w:rPr>
          <w:rFonts w:hint="eastAsia"/>
          <w:lang w:eastAsia="zh-CN"/>
        </w:rPr>
        <w:t>款（这两个条款适用于</w:t>
      </w:r>
      <w:r w:rsidR="00EC466D">
        <w:rPr>
          <w:rFonts w:hint="eastAsia"/>
          <w:lang w:eastAsia="zh-CN"/>
        </w:rPr>
        <w:t>7 145-</w:t>
      </w:r>
      <w:r w:rsidRPr="0061720B">
        <w:rPr>
          <w:rFonts w:hint="eastAsia"/>
          <w:lang w:eastAsia="zh-CN"/>
        </w:rPr>
        <w:t>7 235 MHz</w:t>
      </w:r>
      <w:r w:rsidRPr="0061720B">
        <w:rPr>
          <w:rFonts w:hint="eastAsia"/>
          <w:lang w:eastAsia="zh-CN"/>
        </w:rPr>
        <w:t>和</w:t>
      </w:r>
      <w:r w:rsidRPr="0061720B">
        <w:rPr>
          <w:rFonts w:hint="eastAsia"/>
          <w:lang w:eastAsia="zh-CN"/>
        </w:rPr>
        <w:t>8</w:t>
      </w:r>
      <w:r w:rsidR="005F6F33">
        <w:rPr>
          <w:lang w:eastAsia="zh-CN"/>
        </w:rPr>
        <w:t> </w:t>
      </w:r>
      <w:r w:rsidRPr="0061720B">
        <w:rPr>
          <w:rFonts w:hint="eastAsia"/>
          <w:lang w:eastAsia="zh-CN"/>
        </w:rPr>
        <w:t>400-8 500 MHz</w:t>
      </w:r>
      <w:r w:rsidRPr="0061720B">
        <w:rPr>
          <w:rFonts w:hint="eastAsia"/>
          <w:lang w:eastAsia="zh-CN"/>
        </w:rPr>
        <w:t>的空间研究划分）的措词时得出结论，可能要对这些在实际中无法遵守且对与用于深空操作的航天器设计不兼容的频率使用进行限制的脚注做出解释。为解决这一问题，建议应修订</w:t>
      </w:r>
      <w:r w:rsidR="00BE7476">
        <w:rPr>
          <w:rFonts w:hint="eastAsia"/>
          <w:lang w:eastAsia="zh-CN"/>
        </w:rPr>
        <w:t>《无线电规则</w:t>
      </w:r>
      <w:r w:rsidR="00BE7476">
        <w:rPr>
          <w:lang w:eastAsia="zh-CN"/>
        </w:rPr>
        <w:t>》</w:t>
      </w:r>
      <w:r w:rsidRPr="0061720B">
        <w:rPr>
          <w:rFonts w:hint="eastAsia"/>
          <w:lang w:eastAsia="zh-CN"/>
        </w:rPr>
        <w:t>第</w:t>
      </w:r>
      <w:r w:rsidRPr="0061720B">
        <w:rPr>
          <w:rFonts w:hint="eastAsia"/>
          <w:lang w:eastAsia="zh-CN"/>
        </w:rPr>
        <w:t>1</w:t>
      </w:r>
      <w:r w:rsidR="00BE7476">
        <w:rPr>
          <w:rFonts w:hint="eastAsia"/>
          <w:lang w:eastAsia="zh-CN"/>
        </w:rPr>
        <w:t>条中的空间研究业务的定义，明确在发射和初入轨道、绕地飞行或返回地球阶段，当深空台站必须在地球和深空之间的区域（即近地区域）操作时，深空电台可使用</w:t>
      </w:r>
      <w:r w:rsidRPr="0061720B">
        <w:rPr>
          <w:rFonts w:hint="eastAsia"/>
          <w:lang w:eastAsia="zh-CN"/>
        </w:rPr>
        <w:t>SRS</w:t>
      </w:r>
      <w:r w:rsidR="00BE7476">
        <w:rPr>
          <w:rFonts w:hint="eastAsia"/>
          <w:lang w:eastAsia="zh-CN"/>
        </w:rPr>
        <w:t>深空划分。也建议</w:t>
      </w:r>
      <w:r w:rsidRPr="0061720B">
        <w:rPr>
          <w:rFonts w:hint="eastAsia"/>
          <w:lang w:eastAsia="zh-CN"/>
        </w:rPr>
        <w:t>对</w:t>
      </w:r>
      <w:r w:rsidR="00BE7476">
        <w:rPr>
          <w:rFonts w:hint="eastAsia"/>
          <w:lang w:eastAsia="zh-CN"/>
        </w:rPr>
        <w:t>脚注</w:t>
      </w:r>
      <w:r w:rsidRPr="0061720B">
        <w:rPr>
          <w:rFonts w:hint="eastAsia"/>
          <w:lang w:eastAsia="zh-CN"/>
        </w:rPr>
        <w:t>5.460</w:t>
      </w:r>
      <w:r w:rsidRPr="0061720B">
        <w:rPr>
          <w:rFonts w:hint="eastAsia"/>
          <w:lang w:eastAsia="zh-CN"/>
        </w:rPr>
        <w:t>和</w:t>
      </w:r>
      <w:r w:rsidRPr="0061720B">
        <w:rPr>
          <w:rFonts w:hint="eastAsia"/>
          <w:lang w:eastAsia="zh-CN"/>
        </w:rPr>
        <w:t>5.465</w:t>
      </w:r>
      <w:r w:rsidR="00BE7476">
        <w:rPr>
          <w:rFonts w:hint="eastAsia"/>
          <w:lang w:eastAsia="zh-CN"/>
        </w:rPr>
        <w:t>做出相应修改</w:t>
      </w:r>
      <w:r w:rsidRPr="0061720B">
        <w:rPr>
          <w:rFonts w:hint="eastAsia"/>
          <w:lang w:eastAsia="zh-CN"/>
        </w:rPr>
        <w:t>。</w:t>
      </w:r>
    </w:p>
    <w:p w:rsidR="005C2823" w:rsidRPr="007F255E" w:rsidRDefault="00BE7476" w:rsidP="00BE7476">
      <w:pPr>
        <w:ind w:firstLineChars="200" w:firstLine="480"/>
        <w:rPr>
          <w:lang w:eastAsia="zh-CN"/>
        </w:rPr>
      </w:pPr>
      <w:r>
        <w:rPr>
          <w:rFonts w:hint="eastAsia"/>
          <w:lang w:eastAsia="zh-CN"/>
        </w:rPr>
        <w:t>因此</w:t>
      </w:r>
      <w:r>
        <w:rPr>
          <w:lang w:eastAsia="zh-CN"/>
        </w:rPr>
        <w:t>，阿拉伯国家主管部门支持修改《</w:t>
      </w:r>
      <w:r>
        <w:rPr>
          <w:rFonts w:hint="eastAsia"/>
          <w:lang w:eastAsia="zh-CN"/>
        </w:rPr>
        <w:t>无线电规则</w:t>
      </w:r>
      <w:r>
        <w:rPr>
          <w:lang w:eastAsia="zh-CN"/>
        </w:rPr>
        <w:t>》</w:t>
      </w:r>
      <w:r>
        <w:rPr>
          <w:rFonts w:hint="eastAsia"/>
          <w:lang w:eastAsia="zh-CN"/>
        </w:rPr>
        <w:t>第</w:t>
      </w:r>
      <w:r>
        <w:rPr>
          <w:rFonts w:hint="eastAsia"/>
          <w:lang w:eastAsia="zh-CN"/>
        </w:rPr>
        <w:t>4</w:t>
      </w:r>
      <w:r>
        <w:rPr>
          <w:rFonts w:hint="eastAsia"/>
          <w:lang w:eastAsia="zh-CN"/>
        </w:rPr>
        <w:t>条</w:t>
      </w:r>
      <w:r w:rsidR="00EC466D">
        <w:rPr>
          <w:rFonts w:hint="eastAsia"/>
          <w:lang w:eastAsia="zh-CN"/>
        </w:rPr>
        <w:t>，</w:t>
      </w:r>
      <w:r w:rsidR="0061720B" w:rsidRPr="0061720B">
        <w:rPr>
          <w:rFonts w:hint="eastAsia"/>
          <w:lang w:eastAsia="zh-CN"/>
        </w:rPr>
        <w:t>增加一个说明允许近地时使用</w:t>
      </w:r>
      <w:r w:rsidR="0061720B" w:rsidRPr="0061720B">
        <w:rPr>
          <w:rFonts w:hint="eastAsia"/>
          <w:lang w:eastAsia="zh-CN"/>
        </w:rPr>
        <w:t>SRS</w:t>
      </w:r>
      <w:r w:rsidR="0061720B" w:rsidRPr="0061720B">
        <w:rPr>
          <w:rFonts w:hint="eastAsia"/>
          <w:lang w:eastAsia="zh-CN"/>
        </w:rPr>
        <w:t>（深空）划分的新段落。</w:t>
      </w:r>
    </w:p>
    <w:p w:rsidR="005C2823" w:rsidRDefault="005C2823" w:rsidP="005C2823">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396A28" w:rsidP="004709FF">
      <w:pPr>
        <w:pStyle w:val="ArtNo"/>
        <w:rPr>
          <w:lang w:eastAsia="zh-CN"/>
        </w:rPr>
      </w:pPr>
      <w:bookmarkStart w:id="8" w:name="_Toc329768660"/>
      <w:r>
        <w:rPr>
          <w:rFonts w:hint="eastAsia"/>
          <w:lang w:eastAsia="zh-CN"/>
        </w:rPr>
        <w:lastRenderedPageBreak/>
        <w:t>第</w:t>
      </w:r>
      <w:r w:rsidRPr="001F276D">
        <w:rPr>
          <w:rStyle w:val="href"/>
          <w:rFonts w:hint="eastAsia"/>
          <w:lang w:eastAsia="zh-CN"/>
        </w:rPr>
        <w:t>4</w:t>
      </w:r>
      <w:r>
        <w:rPr>
          <w:rFonts w:hint="eastAsia"/>
          <w:lang w:eastAsia="zh-CN"/>
        </w:rPr>
        <w:t>条</w:t>
      </w:r>
      <w:bookmarkEnd w:id="8"/>
    </w:p>
    <w:p w:rsidR="00DB1CAC" w:rsidRDefault="00396A28" w:rsidP="00DC64DF">
      <w:pPr>
        <w:pStyle w:val="Arttitle"/>
        <w:rPr>
          <w:lang w:eastAsia="zh-CN"/>
        </w:rPr>
      </w:pPr>
      <w:bookmarkStart w:id="9" w:name="_Toc329768661"/>
      <w:r w:rsidRPr="00DC64DF">
        <w:rPr>
          <w:rFonts w:hint="eastAsia"/>
          <w:lang w:eastAsia="zh-CN"/>
        </w:rPr>
        <w:t>频率的指配及使用</w:t>
      </w:r>
      <w:bookmarkEnd w:id="9"/>
    </w:p>
    <w:p w:rsidR="008D00D3" w:rsidRDefault="00396A28">
      <w:pPr>
        <w:pStyle w:val="Proposal"/>
        <w:rPr>
          <w:lang w:eastAsia="zh-CN"/>
        </w:rPr>
      </w:pPr>
      <w:r>
        <w:rPr>
          <w:lang w:eastAsia="zh-CN"/>
        </w:rPr>
        <w:t>ADD</w:t>
      </w:r>
      <w:r>
        <w:rPr>
          <w:lang w:eastAsia="zh-CN"/>
        </w:rPr>
        <w:tab/>
        <w:t>ARB/25A23A2/1</w:t>
      </w:r>
    </w:p>
    <w:p w:rsidR="008D00D3" w:rsidRDefault="00396A28" w:rsidP="00396A28">
      <w:r>
        <w:rPr>
          <w:rStyle w:val="Artdef"/>
          <w:lang w:eastAsia="zh-CN"/>
        </w:rPr>
        <w:t>4.XX</w:t>
      </w:r>
      <w:r>
        <w:rPr>
          <w:lang w:eastAsia="zh-CN"/>
        </w:rPr>
        <w:tab/>
      </w:r>
      <w:r w:rsidR="00BE7476">
        <w:rPr>
          <w:rFonts w:hint="eastAsia"/>
          <w:lang w:eastAsia="zh-CN"/>
        </w:rPr>
        <w:t>指定用于深空操作的空间研究业务划分限于主要在深空区域或飞往深空操作的空间网络。此类空间网络亦</w:t>
      </w:r>
      <w:r w:rsidR="00BE7476">
        <w:rPr>
          <w:lang w:eastAsia="zh-CN"/>
        </w:rPr>
        <w:t>获准</w:t>
      </w:r>
      <w:r w:rsidRPr="00396A28">
        <w:rPr>
          <w:rFonts w:hint="eastAsia"/>
          <w:lang w:eastAsia="zh-CN"/>
        </w:rPr>
        <w:t>在发射和近地操作阶段使用这些划分。</w:t>
      </w:r>
      <w:r w:rsidRPr="00396A28">
        <w:rPr>
          <w:rFonts w:hint="eastAsia"/>
          <w:sz w:val="16"/>
          <w:szCs w:val="16"/>
          <w:lang w:eastAsia="zh-CN"/>
        </w:rPr>
        <w:t>（</w:t>
      </w:r>
      <w:r w:rsidRPr="00396A28">
        <w:rPr>
          <w:rFonts w:hint="eastAsia"/>
          <w:sz w:val="16"/>
          <w:szCs w:val="16"/>
        </w:rPr>
        <w:t>WRC-15</w:t>
      </w:r>
      <w:r w:rsidRPr="00396A28">
        <w:rPr>
          <w:rFonts w:hint="eastAsia"/>
          <w:sz w:val="16"/>
          <w:szCs w:val="16"/>
          <w:lang w:eastAsia="zh-CN"/>
        </w:rPr>
        <w:t>）</w:t>
      </w:r>
    </w:p>
    <w:p w:rsidR="00805AD6" w:rsidRDefault="00805AD6" w:rsidP="0032202E">
      <w:pPr>
        <w:pStyle w:val="Reasons"/>
      </w:pPr>
      <w:bookmarkStart w:id="10" w:name="_GoBack"/>
      <w:bookmarkEnd w:id="10"/>
    </w:p>
    <w:p w:rsidR="00805AD6" w:rsidRDefault="00805AD6">
      <w:pPr>
        <w:jc w:val="center"/>
      </w:pPr>
      <w:r>
        <w:t>______________</w:t>
      </w:r>
    </w:p>
    <w:sectPr w:rsidR="00805AD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1C6" w:rsidRPr="00DA0469" w:rsidRDefault="001841C6" w:rsidP="001841C6">
    <w:pPr>
      <w:pStyle w:val="Footer"/>
      <w:rPr>
        <w:lang w:val="en-US"/>
      </w:rPr>
    </w:pPr>
    <w:r>
      <w:fldChar w:fldCharType="begin"/>
    </w:r>
    <w:r w:rsidRPr="00DA0469">
      <w:rPr>
        <w:lang w:val="en-US"/>
      </w:rPr>
      <w:instrText xml:space="preserve"> FILENAME \p \* MERGEFORMAT </w:instrText>
    </w:r>
    <w:r>
      <w:fldChar w:fldCharType="separate"/>
    </w:r>
    <w:r w:rsidR="005A394A">
      <w:rPr>
        <w:lang w:val="en-US"/>
      </w:rPr>
      <w:t>P:\CHI\ITU-R\CONF-R\CMR15\000\025ADD23ADD02C.docx</w:t>
    </w:r>
    <w:r>
      <w:fldChar w:fldCharType="end"/>
    </w:r>
    <w:r>
      <w:t xml:space="preserve"> (386890)</w:t>
    </w:r>
    <w:r w:rsidRPr="00DA0469">
      <w:rPr>
        <w:lang w:val="en-US"/>
      </w:rPr>
      <w:tab/>
    </w:r>
    <w:r>
      <w:fldChar w:fldCharType="begin"/>
    </w:r>
    <w:r>
      <w:instrText xml:space="preserve"> savedate \@ dd.MM.yy </w:instrText>
    </w:r>
    <w:r>
      <w:fldChar w:fldCharType="separate"/>
    </w:r>
    <w:r w:rsidR="005A394A">
      <w:t>02.10.15</w:t>
    </w:r>
    <w:r>
      <w:fldChar w:fldCharType="end"/>
    </w:r>
    <w:r w:rsidRPr="00DA0469">
      <w:rPr>
        <w:lang w:val="en-US"/>
      </w:rPr>
      <w:tab/>
    </w:r>
    <w:r>
      <w:fldChar w:fldCharType="begin"/>
    </w:r>
    <w:r>
      <w:instrText xml:space="preserve"> printdate \@ dd.MM.yy </w:instrText>
    </w:r>
    <w:r>
      <w:fldChar w:fldCharType="separate"/>
    </w:r>
    <w:r w:rsidR="005A394A">
      <w:t>02.10.15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5A394A">
      <w:rPr>
        <w:lang w:val="en-US"/>
      </w:rPr>
      <w:t>P:\CHI\ITU-R\CONF-R\CMR15\000\025ADD23ADD02C.docx</w:t>
    </w:r>
    <w:r>
      <w:fldChar w:fldCharType="end"/>
    </w:r>
    <w:r w:rsidR="001841C6">
      <w:t xml:space="preserve"> (386890)</w:t>
    </w:r>
    <w:r w:rsidRPr="00DA0469">
      <w:rPr>
        <w:lang w:val="en-US"/>
      </w:rPr>
      <w:tab/>
    </w:r>
    <w:r>
      <w:fldChar w:fldCharType="begin"/>
    </w:r>
    <w:r>
      <w:instrText xml:space="preserve"> savedate \@ dd.MM.yy </w:instrText>
    </w:r>
    <w:r>
      <w:fldChar w:fldCharType="separate"/>
    </w:r>
    <w:r w:rsidR="005A394A">
      <w:t>02.10.15</w:t>
    </w:r>
    <w:r>
      <w:fldChar w:fldCharType="end"/>
    </w:r>
    <w:r w:rsidRPr="00DA0469">
      <w:rPr>
        <w:lang w:val="en-US"/>
      </w:rPr>
      <w:tab/>
    </w:r>
    <w:r>
      <w:fldChar w:fldCharType="begin"/>
    </w:r>
    <w:r>
      <w:instrText xml:space="preserve"> printdate \@ dd.MM.yy </w:instrText>
    </w:r>
    <w:r>
      <w:fldChar w:fldCharType="separate"/>
    </w:r>
    <w:r w:rsidR="005A394A">
      <w:t>02.10.15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A394A">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25(Add.23)(Add.2)-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41C6"/>
    <w:rsid w:val="001853E8"/>
    <w:rsid w:val="001B6360"/>
    <w:rsid w:val="001F4EA6"/>
    <w:rsid w:val="00214959"/>
    <w:rsid w:val="002260A6"/>
    <w:rsid w:val="002742B3"/>
    <w:rsid w:val="002A4C9C"/>
    <w:rsid w:val="002B509B"/>
    <w:rsid w:val="002E2A59"/>
    <w:rsid w:val="002E4507"/>
    <w:rsid w:val="00305254"/>
    <w:rsid w:val="003169D2"/>
    <w:rsid w:val="00345DDA"/>
    <w:rsid w:val="00396A28"/>
    <w:rsid w:val="003B4BEF"/>
    <w:rsid w:val="003C6B45"/>
    <w:rsid w:val="0041282E"/>
    <w:rsid w:val="00437869"/>
    <w:rsid w:val="00465A34"/>
    <w:rsid w:val="004C4554"/>
    <w:rsid w:val="004D2DEC"/>
    <w:rsid w:val="004F2BE6"/>
    <w:rsid w:val="00527E8A"/>
    <w:rsid w:val="00542E85"/>
    <w:rsid w:val="00562479"/>
    <w:rsid w:val="00576849"/>
    <w:rsid w:val="005A0ACB"/>
    <w:rsid w:val="005A394A"/>
    <w:rsid w:val="005C2823"/>
    <w:rsid w:val="005E08D2"/>
    <w:rsid w:val="005E7FD8"/>
    <w:rsid w:val="005F6F33"/>
    <w:rsid w:val="0061720B"/>
    <w:rsid w:val="00622560"/>
    <w:rsid w:val="00644391"/>
    <w:rsid w:val="00647712"/>
    <w:rsid w:val="00662E12"/>
    <w:rsid w:val="00691142"/>
    <w:rsid w:val="006B67CE"/>
    <w:rsid w:val="006C38ED"/>
    <w:rsid w:val="006E6182"/>
    <w:rsid w:val="006F3C60"/>
    <w:rsid w:val="00736415"/>
    <w:rsid w:val="00770D2A"/>
    <w:rsid w:val="007864F6"/>
    <w:rsid w:val="007A53BA"/>
    <w:rsid w:val="007B7C4B"/>
    <w:rsid w:val="007F0FC5"/>
    <w:rsid w:val="007F5C36"/>
    <w:rsid w:val="008047DB"/>
    <w:rsid w:val="00805AD6"/>
    <w:rsid w:val="008129A9"/>
    <w:rsid w:val="008221A4"/>
    <w:rsid w:val="00823A68"/>
    <w:rsid w:val="00824BD6"/>
    <w:rsid w:val="0083672D"/>
    <w:rsid w:val="00844734"/>
    <w:rsid w:val="00865DFB"/>
    <w:rsid w:val="008A7416"/>
    <w:rsid w:val="008B6852"/>
    <w:rsid w:val="008C26FF"/>
    <w:rsid w:val="008D00D3"/>
    <w:rsid w:val="008D1D14"/>
    <w:rsid w:val="008E1785"/>
    <w:rsid w:val="008E7127"/>
    <w:rsid w:val="008E7C8E"/>
    <w:rsid w:val="0090512C"/>
    <w:rsid w:val="00912959"/>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BE7476"/>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3663A"/>
    <w:rsid w:val="00E560F1"/>
    <w:rsid w:val="00E92319"/>
    <w:rsid w:val="00EC466D"/>
    <w:rsid w:val="00F837F4"/>
    <w:rsid w:val="00FC59C4"/>
    <w:rsid w:val="00FC7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5E9D63-18B3-4236-9250-4AAEC0A8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R15-WRC15-C-0025!A23-A2!MSW-C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7F781-5C80-4E73-8E56-7FDFD5D4A88B}">
  <ds:schemaRefs>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32a1a8c5-2265-4ebc-b7a0-2071e2c5c9bb"/>
    <ds:schemaRef ds:uri="996b2e75-67fd-4955-a3b0-5ab9934cb50b"/>
    <ds:schemaRef ds:uri="http://www.w3.org/XML/1998/namespace"/>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665</Words>
  <Characters>815</Characters>
  <Application>Microsoft Office Word</Application>
  <DocSecurity>0</DocSecurity>
  <Lines>45</Lines>
  <Paragraphs>22</Paragraphs>
  <ScaleCrop>false</ScaleCrop>
  <HeadingPairs>
    <vt:vector size="2" baseType="variant">
      <vt:variant>
        <vt:lpstr>Title</vt:lpstr>
      </vt:variant>
      <vt:variant>
        <vt:i4>1</vt:i4>
      </vt:variant>
    </vt:vector>
  </HeadingPairs>
  <TitlesOfParts>
    <vt:vector size="1" baseType="lpstr">
      <vt:lpstr>R15-WRC15-C-0025!A23-A2!MSW-C</vt:lpstr>
    </vt:vector>
  </TitlesOfParts>
  <Manager>General Secretariat - Pool</Manager>
  <Company>International Telecommunication Union (ITU)</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R15-WRC15-C-0025!A23-A2!MSW-C</dc:title>
  <dc:subject>World Radiocommunication Conference - 2015</dc:subject>
  <dc:creator>Documents Proposals Manager (DPM)</dc:creator>
  <cp:keywords>DPM_v5.2015.9.16_prod</cp:keywords>
  <dc:description/>
  <cp:lastModifiedBy>Zheng, Bingyue</cp:lastModifiedBy>
  <cp:revision>8</cp:revision>
  <cp:lastPrinted>2015-10-02T09:54:00Z</cp:lastPrinted>
  <dcterms:created xsi:type="dcterms:W3CDTF">2015-10-02T09:28:00Z</dcterms:created>
  <dcterms:modified xsi:type="dcterms:W3CDTF">2015-10-02T09:54:00Z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