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421FCE">
        <w:trPr>
          <w:cantSplit/>
          <w:trHeight w:val="20"/>
        </w:trPr>
        <w:tc>
          <w:tcPr>
            <w:tcW w:w="642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2966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421FCE">
        <w:trPr>
          <w:cantSplit/>
          <w:trHeight w:val="20"/>
        </w:trPr>
        <w:tc>
          <w:tcPr>
            <w:tcW w:w="6423" w:type="dxa"/>
            <w:tcBorders>
              <w:bottom w:val="single" w:sz="12" w:space="0" w:color="auto"/>
            </w:tcBorders>
          </w:tcPr>
          <w:p w:rsidR="00280E04" w:rsidRPr="00960962" w:rsidRDefault="006B0D94" w:rsidP="002E4C3F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:rsidR="00280E04" w:rsidRPr="00A9645C" w:rsidRDefault="00280E04" w:rsidP="002E4C3F">
            <w:pPr>
              <w:spacing w:before="0"/>
              <w:rPr>
                <w:lang w:bidi="ar-EG"/>
              </w:rPr>
            </w:pPr>
          </w:p>
        </w:tc>
      </w:tr>
      <w:tr w:rsidR="00280E04" w:rsidTr="00421FCE">
        <w:trPr>
          <w:cantSplit/>
          <w:trHeight w:val="20"/>
        </w:trPr>
        <w:tc>
          <w:tcPr>
            <w:tcW w:w="6423" w:type="dxa"/>
            <w:tcBorders>
              <w:top w:val="single" w:sz="12" w:space="0" w:color="auto"/>
            </w:tcBorders>
          </w:tcPr>
          <w:p w:rsidR="00280E04" w:rsidRPr="00BD6EF3" w:rsidRDefault="00280E04" w:rsidP="002E4C3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:rsidR="00280E04" w:rsidRPr="00BD6EF3" w:rsidRDefault="00280E04" w:rsidP="002E4C3F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3E1608" w:rsidTr="00421FCE">
        <w:trPr>
          <w:cantSplit/>
        </w:trPr>
        <w:tc>
          <w:tcPr>
            <w:tcW w:w="6423" w:type="dxa"/>
            <w:shd w:val="clear" w:color="auto" w:fill="auto"/>
          </w:tcPr>
          <w:p w:rsidR="003E1608" w:rsidRPr="00AD706D" w:rsidRDefault="00E165ED" w:rsidP="002E4C3F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3E1608" w:rsidRPr="00DE6D6C" w:rsidRDefault="003E1608" w:rsidP="002E4C3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DE6D6C">
              <w:rPr>
                <w:rtl/>
              </w:rPr>
              <w:t xml:space="preserve">الإضافة </w:t>
            </w:r>
            <w:r w:rsidRPr="00DE6D6C">
              <w:t>1</w:t>
            </w:r>
            <w:r w:rsidRPr="00DE6D6C">
              <w:br/>
            </w:r>
            <w:r w:rsidRPr="00DE6D6C">
              <w:rPr>
                <w:rtl/>
              </w:rPr>
              <w:t xml:space="preserve">للوثيقة </w:t>
            </w:r>
            <w:r w:rsidRPr="00DE6D6C">
              <w:t>25(Add.</w:t>
            </w:r>
            <w:r w:rsidR="00DE6D6C" w:rsidRPr="00DE6D6C">
              <w:t>23)-A</w:t>
            </w:r>
          </w:p>
        </w:tc>
      </w:tr>
      <w:tr w:rsidR="00764079" w:rsidTr="00421FCE">
        <w:trPr>
          <w:cantSplit/>
        </w:trPr>
        <w:tc>
          <w:tcPr>
            <w:tcW w:w="6423" w:type="dxa"/>
            <w:shd w:val="clear" w:color="auto" w:fill="auto"/>
          </w:tcPr>
          <w:p w:rsidR="00764079" w:rsidRPr="00BD6EF3" w:rsidRDefault="00764079" w:rsidP="002E4C3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764079" w:rsidRPr="00DE6D6C" w:rsidRDefault="00764079" w:rsidP="002E4C3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DE6D6C">
              <w:rPr>
                <w:rFonts w:eastAsia="SimSun"/>
              </w:rPr>
              <w:t>10</w:t>
            </w:r>
            <w:r w:rsidRPr="00DE6D6C">
              <w:rPr>
                <w:rFonts w:eastAsia="SimSun"/>
                <w:rtl/>
              </w:rPr>
              <w:t xml:space="preserve"> سبتمبر </w:t>
            </w:r>
            <w:r w:rsidRPr="00DE6D6C">
              <w:rPr>
                <w:rFonts w:eastAsia="SimSun"/>
              </w:rPr>
              <w:t>2015</w:t>
            </w:r>
          </w:p>
        </w:tc>
      </w:tr>
      <w:tr w:rsidR="00764079" w:rsidTr="00421FCE">
        <w:trPr>
          <w:cantSplit/>
        </w:trPr>
        <w:tc>
          <w:tcPr>
            <w:tcW w:w="6423" w:type="dxa"/>
          </w:tcPr>
          <w:p w:rsidR="00764079" w:rsidRPr="00BD6EF3" w:rsidRDefault="00764079" w:rsidP="002E4C3F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  <w:rtl/>
              </w:rPr>
            </w:pPr>
          </w:p>
        </w:tc>
        <w:tc>
          <w:tcPr>
            <w:tcW w:w="2966" w:type="dxa"/>
            <w:vAlign w:val="center"/>
          </w:tcPr>
          <w:p w:rsidR="00764079" w:rsidRPr="00DE6D6C" w:rsidRDefault="00764079" w:rsidP="002E4C3F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DE6D6C">
              <w:rPr>
                <w:rFonts w:eastAsia="SimSun"/>
                <w:rtl/>
              </w:rPr>
              <w:t>الأصل: بالعربية</w:t>
            </w:r>
          </w:p>
        </w:tc>
      </w:tr>
      <w:tr w:rsidR="00764079" w:rsidTr="00421FCE">
        <w:trPr>
          <w:cantSplit/>
        </w:trPr>
        <w:tc>
          <w:tcPr>
            <w:tcW w:w="9389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الدول العربية</w:t>
            </w:r>
          </w:p>
        </w:tc>
      </w:tr>
      <w:tr w:rsidR="00764079" w:rsidTr="00421FCE">
        <w:trPr>
          <w:cantSplit/>
        </w:trPr>
        <w:tc>
          <w:tcPr>
            <w:tcW w:w="9389" w:type="dxa"/>
            <w:gridSpan w:val="2"/>
          </w:tcPr>
          <w:p w:rsidR="00764079" w:rsidRPr="00BD6EF3" w:rsidRDefault="00D87088" w:rsidP="00D44350">
            <w:pPr>
              <w:pStyle w:val="Title1"/>
              <w:spacing w:before="240"/>
              <w:rPr>
                <w:rtl/>
              </w:rPr>
            </w:pPr>
            <w:r w:rsidRPr="008204AC">
              <w:rPr>
                <w:rFonts w:ascii="Calibri" w:eastAsia="SimSun" w:hAnsi="Calibri"/>
                <w:rtl/>
              </w:rPr>
              <w:t>مقترحات بشأن أعمال ال</w:t>
            </w:r>
            <w:r w:rsidR="00AF00E4">
              <w:rPr>
                <w:rFonts w:ascii="Calibri" w:eastAsia="SimSun" w:hAnsi="Calibri" w:hint="cs"/>
                <w:rtl/>
              </w:rPr>
              <w:t>‍</w:t>
            </w:r>
            <w:r w:rsidRPr="008204AC">
              <w:rPr>
                <w:rFonts w:ascii="Calibri" w:eastAsia="SimSun" w:hAnsi="Calibri"/>
                <w:rtl/>
              </w:rPr>
              <w:t>مؤت</w:t>
            </w:r>
            <w:r w:rsidR="00AF00E4">
              <w:rPr>
                <w:rFonts w:ascii="Calibri" w:eastAsia="SimSun" w:hAnsi="Calibri" w:hint="cs"/>
                <w:rtl/>
              </w:rPr>
              <w:t>‍</w:t>
            </w:r>
            <w:r w:rsidRPr="008204AC">
              <w:rPr>
                <w:rFonts w:ascii="Calibri" w:eastAsia="SimSun" w:hAnsi="Calibri"/>
                <w:rtl/>
              </w:rPr>
              <w:t>مر</w:t>
            </w:r>
          </w:p>
        </w:tc>
      </w:tr>
      <w:tr w:rsidR="00764079" w:rsidTr="00421FCE">
        <w:trPr>
          <w:cantSplit/>
        </w:trPr>
        <w:tc>
          <w:tcPr>
            <w:tcW w:w="9389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421FCE">
        <w:trPr>
          <w:cantSplit/>
        </w:trPr>
        <w:tc>
          <w:tcPr>
            <w:tcW w:w="9389" w:type="dxa"/>
            <w:gridSpan w:val="2"/>
          </w:tcPr>
          <w:p w:rsidR="00764079" w:rsidRPr="002919E1" w:rsidRDefault="00764079" w:rsidP="00D4435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D87088" w:rsidRPr="00431196">
              <w:rPr>
                <w:rFonts w:eastAsia="SimSun"/>
                <w:lang w:bidi="ar-SY"/>
              </w:rPr>
              <w:t>(1.2.9)2.9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BE4A66" w:rsidRDefault="00741641" w:rsidP="00AF00E4">
      <w:pPr>
        <w:pStyle w:val="Normalaftertitle"/>
        <w:rPr>
          <w:rFonts w:eastAsia="SimSun"/>
          <w:rtl/>
        </w:rPr>
      </w:pPr>
      <w:r w:rsidRPr="00431196">
        <w:rPr>
          <w:rFonts w:eastAsia="SimSun"/>
          <w:lang w:bidi="ar-SY"/>
        </w:rPr>
        <w:t xml:space="preserve"> (1.2.9)2.9</w:t>
      </w:r>
      <w:r w:rsidRPr="00431196">
        <w:rPr>
          <w:rFonts w:eastAsia="SimSun"/>
          <w:rtl/>
        </w:rPr>
        <w:tab/>
        <w:t>مسألة تعريف المحطات الراديوية العاملة في خدمة مساع</w:t>
      </w:r>
      <w:r>
        <w:rPr>
          <w:rFonts w:eastAsia="SimSun" w:hint="cs"/>
          <w:rtl/>
        </w:rPr>
        <w:t>ِ</w:t>
      </w:r>
      <w:r w:rsidRPr="00431196">
        <w:rPr>
          <w:rFonts w:eastAsia="SimSun"/>
          <w:rtl/>
        </w:rPr>
        <w:t>دات الأرصاد الجوية</w:t>
      </w:r>
    </w:p>
    <w:p w:rsidR="00E31352" w:rsidRPr="00E31352" w:rsidRDefault="00E31352" w:rsidP="00E31352">
      <w:pPr>
        <w:rPr>
          <w:rFonts w:eastAsia="SimSun"/>
        </w:rPr>
      </w:pPr>
    </w:p>
    <w:p w:rsidR="00D87088" w:rsidRPr="00A25FFC" w:rsidRDefault="00D87088" w:rsidP="00D87088">
      <w:pPr>
        <w:pStyle w:val="Headingb"/>
      </w:pPr>
      <w:r>
        <w:rPr>
          <w:rFonts w:hint="cs"/>
          <w:rtl/>
        </w:rPr>
        <w:t>مقدمة</w:t>
      </w:r>
    </w:p>
    <w:p w:rsidR="00D87088" w:rsidRDefault="00D87088" w:rsidP="004B3CB0">
      <w:pPr>
        <w:rPr>
          <w:lang w:bidi="ar-EG"/>
        </w:rPr>
      </w:pPr>
      <w:r>
        <w:rPr>
          <w:rFonts w:hint="cs"/>
          <w:rtl/>
          <w:lang w:bidi="ar-OM"/>
        </w:rPr>
        <w:t>يهدف</w:t>
      </w:r>
      <w:r>
        <w:rPr>
          <w:rFonts w:hint="cs"/>
          <w:rtl/>
          <w:lang w:bidi="ar-SY"/>
        </w:rPr>
        <w:t xml:space="preserve"> هذا البند من جدول الأعمال </w:t>
      </w:r>
      <w:r w:rsidR="00D86018">
        <w:rPr>
          <w:rFonts w:hint="cs"/>
          <w:rtl/>
          <w:lang w:bidi="ar-SY"/>
        </w:rPr>
        <w:t xml:space="preserve">إلى </w:t>
      </w:r>
      <w:r>
        <w:rPr>
          <w:rFonts w:hint="cs"/>
          <w:rtl/>
          <w:lang w:bidi="ar-SY"/>
        </w:rPr>
        <w:t xml:space="preserve">حل أي صعوبات أو تناقضات تُصادف في تطبيق لوائح الراديو. </w:t>
      </w:r>
      <w:r w:rsidR="009F0E76">
        <w:rPr>
          <w:rFonts w:hint="cs"/>
          <w:rtl/>
          <w:lang w:bidi="ar-SY"/>
        </w:rPr>
        <w:t>و</w:t>
      </w:r>
      <w:r>
        <w:rPr>
          <w:rFonts w:hint="cs"/>
          <w:rtl/>
          <w:lang w:bidi="ar-SY"/>
        </w:rPr>
        <w:t xml:space="preserve">لوحظ </w:t>
      </w:r>
      <w:r w:rsidRPr="003634C1">
        <w:rPr>
          <w:rFonts w:hint="cs"/>
          <w:rtl/>
          <w:lang w:bidi="ar-SY"/>
        </w:rPr>
        <w:t>خلال الم</w:t>
      </w:r>
      <w:r>
        <w:rPr>
          <w:rFonts w:hint="cs"/>
          <w:rtl/>
          <w:lang w:bidi="ar-SY"/>
        </w:rPr>
        <w:t>ؤتمر</w:t>
      </w:r>
      <w:r w:rsidR="004B3CB0">
        <w:rPr>
          <w:rFonts w:hint="eastAsia"/>
          <w:rtl/>
          <w:lang w:bidi="ar-SY"/>
        </w:rPr>
        <w:t> </w:t>
      </w:r>
      <w:r>
        <w:rPr>
          <w:lang w:bidi="ar-SY"/>
        </w:rPr>
        <w:t>WRC-12</w:t>
      </w:r>
      <w:r>
        <w:rPr>
          <w:rFonts w:hint="cs"/>
          <w:rtl/>
          <w:lang w:bidi="ar-EG"/>
        </w:rPr>
        <w:t>، أن خدمة مساع</w:t>
      </w:r>
      <w:r w:rsidR="00741641">
        <w:rPr>
          <w:rFonts w:hint="cs"/>
          <w:rtl/>
          <w:lang w:bidi="ar-EG"/>
        </w:rPr>
        <w:t>ِ</w:t>
      </w:r>
      <w:r>
        <w:rPr>
          <w:rFonts w:hint="cs"/>
          <w:rtl/>
          <w:lang w:bidi="ar-EG"/>
        </w:rPr>
        <w:t xml:space="preserve">دات الأرصاد الجوية (الرقم </w:t>
      </w:r>
      <w:r w:rsidRPr="002E4C3F">
        <w:rPr>
          <w:lang w:bidi="ar-EG"/>
        </w:rPr>
        <w:t>50.1</w:t>
      </w:r>
      <w:r>
        <w:rPr>
          <w:rFonts w:hint="cs"/>
          <w:b/>
          <w:bCs/>
          <w:rtl/>
          <w:lang w:bidi="ar-EG"/>
        </w:rPr>
        <w:t xml:space="preserve"> </w:t>
      </w:r>
      <w:r w:rsidRPr="009B3C35">
        <w:rPr>
          <w:rFonts w:hint="cs"/>
          <w:rtl/>
          <w:lang w:bidi="ar-EG"/>
        </w:rPr>
        <w:t xml:space="preserve">من لوائح الراديو) ليس لها تعريف مقابل للمحطات الراديوية، باستثناء مصطلح </w:t>
      </w:r>
      <w:r w:rsidRPr="009B3C35">
        <w:rPr>
          <w:rFonts w:hint="cs"/>
          <w:i/>
          <w:iCs/>
          <w:rtl/>
          <w:lang w:bidi="ar-EG"/>
        </w:rPr>
        <w:t xml:space="preserve">المسبار الراديوي </w:t>
      </w:r>
      <w:r w:rsidRPr="009B3C35">
        <w:rPr>
          <w:rFonts w:hint="cs"/>
          <w:rtl/>
          <w:lang w:bidi="ar-EG"/>
        </w:rPr>
        <w:t xml:space="preserve">(الرقم </w:t>
      </w:r>
      <w:r w:rsidRPr="002E4C3F">
        <w:rPr>
          <w:lang w:bidi="ar-EG"/>
        </w:rPr>
        <w:t>109.1</w:t>
      </w:r>
      <w:r w:rsidRPr="009B3C35">
        <w:rPr>
          <w:rFonts w:hint="cs"/>
          <w:rtl/>
          <w:lang w:bidi="ar-EG"/>
        </w:rPr>
        <w:t xml:space="preserve"> من لوائح الراديو). </w:t>
      </w:r>
      <w:r>
        <w:rPr>
          <w:rFonts w:hint="cs"/>
          <w:rtl/>
          <w:lang w:bidi="ar-EG"/>
        </w:rPr>
        <w:t xml:space="preserve">غير أن </w:t>
      </w:r>
      <w:r w:rsidRPr="009F0E76">
        <w:rPr>
          <w:rFonts w:hint="cs"/>
          <w:rtl/>
          <w:lang w:bidi="ar-EG"/>
        </w:rPr>
        <w:t>المسبار</w:t>
      </w:r>
      <w:r>
        <w:rPr>
          <w:rFonts w:hint="cs"/>
          <w:i/>
          <w:iCs/>
          <w:rtl/>
          <w:lang w:bidi="ar-EG"/>
        </w:rPr>
        <w:t xml:space="preserve"> </w:t>
      </w:r>
      <w:r w:rsidRPr="009F0E76">
        <w:rPr>
          <w:rFonts w:hint="cs"/>
          <w:rtl/>
          <w:lang w:bidi="ar-EG"/>
        </w:rPr>
        <w:t>الراديوي</w:t>
      </w:r>
      <w:r>
        <w:rPr>
          <w:rFonts w:hint="cs"/>
          <w:i/>
          <w:iCs/>
          <w:rtl/>
          <w:lang w:bidi="ar-EG"/>
        </w:rPr>
        <w:t xml:space="preserve"> </w:t>
      </w:r>
      <w:r>
        <w:rPr>
          <w:rFonts w:hint="cs"/>
          <w:rtl/>
          <w:lang w:bidi="ar-EG"/>
        </w:rPr>
        <w:t>يمثل نوعاً واحداً من الأجهزة (من بين أنواع أخرى) ضمن خدمة مساع</w:t>
      </w:r>
      <w:r w:rsidR="00741641">
        <w:rPr>
          <w:rFonts w:hint="cs"/>
          <w:rtl/>
          <w:lang w:bidi="ar-EG"/>
        </w:rPr>
        <w:t>ِ</w:t>
      </w:r>
      <w:r>
        <w:rPr>
          <w:rFonts w:hint="cs"/>
          <w:rtl/>
          <w:lang w:bidi="ar-EG"/>
        </w:rPr>
        <w:t>دات الأرصاد الجوية وليس محطة راديوية.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EG"/>
        </w:rPr>
        <w:t>ونظراً لأن معظم خدمات الاتصالات الراديوية المعرّفة في لوائح الراديو لها تعريف للمحطات الراديوية المرتبطة بها، حاول المؤتمر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WRC</w:t>
      </w:r>
      <w:r>
        <w:rPr>
          <w:lang w:bidi="ar-EG"/>
        </w:rPr>
        <w:noBreakHyphen/>
        <w:t>12</w:t>
      </w:r>
      <w:r>
        <w:rPr>
          <w:rFonts w:hint="cs"/>
          <w:rtl/>
          <w:lang w:bidi="ar-EG"/>
        </w:rPr>
        <w:t xml:space="preserve"> تسوية عدم التناسق من خلال اقتراح مجموعة من التعاريف التي ينبغي إدراجها في المادة </w:t>
      </w:r>
      <w:r w:rsidRPr="002E4C3F">
        <w:rPr>
          <w:lang w:bidi="ar-EG"/>
        </w:rPr>
        <w:t>1</w:t>
      </w:r>
      <w:r>
        <w:rPr>
          <w:rFonts w:hint="cs"/>
          <w:rtl/>
          <w:lang w:bidi="ar-EG"/>
        </w:rPr>
        <w:t xml:space="preserve"> من لوائح الراديو.</w:t>
      </w:r>
    </w:p>
    <w:p w:rsidR="00D87088" w:rsidRPr="009F0E76" w:rsidRDefault="00D87088" w:rsidP="002E4C3F">
      <w:pPr>
        <w:rPr>
          <w:spacing w:val="-4"/>
          <w:rtl/>
          <w:lang w:bidi="ar-EG"/>
        </w:rPr>
      </w:pPr>
      <w:r w:rsidRPr="009F0E76">
        <w:rPr>
          <w:rFonts w:hint="cs"/>
          <w:spacing w:val="-4"/>
          <w:rtl/>
          <w:lang w:bidi="ar-OM"/>
        </w:rPr>
        <w:t>و</w:t>
      </w:r>
      <w:r w:rsidRPr="009F0E76">
        <w:rPr>
          <w:rFonts w:hint="cs"/>
          <w:spacing w:val="-4"/>
          <w:rtl/>
          <w:lang w:bidi="ar-EG"/>
        </w:rPr>
        <w:t xml:space="preserve">قرر </w:t>
      </w:r>
      <w:r w:rsidRPr="009F0E76">
        <w:rPr>
          <w:rFonts w:hint="cs"/>
          <w:spacing w:val="-4"/>
          <w:rtl/>
          <w:lang w:bidi="ar-SY"/>
        </w:rPr>
        <w:t xml:space="preserve">المؤتمر </w:t>
      </w:r>
      <w:r w:rsidRPr="009F0E76">
        <w:rPr>
          <w:spacing w:val="-4"/>
          <w:lang w:bidi="ar-SY"/>
        </w:rPr>
        <w:t>WRC-12</w:t>
      </w:r>
      <w:r w:rsidRPr="009F0E76">
        <w:rPr>
          <w:rFonts w:hint="cs"/>
          <w:spacing w:val="-4"/>
          <w:rtl/>
          <w:lang w:bidi="ar-EG"/>
        </w:rPr>
        <w:t xml:space="preserve"> إرجاء اتخاذ قرار بهذا الشأن إلى مؤتمر مختص آخر بحيث يمكن للخبراء في لجنة دراسات قطاع الاتصالات الراديوية ذات الصلة وضع تعاريف للمحطات الراديوية تتعلق </w:t>
      </w:r>
      <w:r w:rsidR="009F0E76" w:rsidRPr="009F0E76">
        <w:rPr>
          <w:rFonts w:hint="cs"/>
          <w:spacing w:val="-4"/>
          <w:rtl/>
          <w:lang w:bidi="ar-EG"/>
        </w:rPr>
        <w:t>بخدمة مساع</w:t>
      </w:r>
      <w:r w:rsidRPr="009F0E76">
        <w:rPr>
          <w:rFonts w:hint="cs"/>
          <w:spacing w:val="-4"/>
          <w:rtl/>
          <w:lang w:bidi="ar-EG"/>
        </w:rPr>
        <w:t>دات الأرصاد الجوية</w:t>
      </w:r>
      <w:r w:rsidR="002E4C3F">
        <w:rPr>
          <w:rFonts w:hint="cs"/>
          <w:spacing w:val="-4"/>
          <w:rtl/>
          <w:lang w:bidi="ar-EG"/>
        </w:rPr>
        <w:t xml:space="preserve">، </w:t>
      </w:r>
      <w:r w:rsidRPr="009F0E76">
        <w:rPr>
          <w:rFonts w:hint="cs"/>
          <w:spacing w:val="-4"/>
          <w:rtl/>
          <w:lang w:bidi="ar-OM"/>
        </w:rPr>
        <w:t>حيث</w:t>
      </w:r>
      <w:r w:rsidRPr="009F0E76">
        <w:rPr>
          <w:rFonts w:hint="cs"/>
          <w:spacing w:val="-4"/>
          <w:rtl/>
          <w:lang w:bidi="ar-SY"/>
        </w:rPr>
        <w:t xml:space="preserve"> وضع المكتب فئتين من المحطات بالرمزين </w:t>
      </w:r>
      <w:r w:rsidRPr="009F0E76">
        <w:rPr>
          <w:spacing w:val="-4"/>
          <w:lang w:bidi="ar-SY"/>
        </w:rPr>
        <w:t>"SM"</w:t>
      </w:r>
      <w:r w:rsidRPr="009F0E76">
        <w:rPr>
          <w:rFonts w:hint="cs"/>
          <w:spacing w:val="-4"/>
          <w:rtl/>
          <w:lang w:bidi="ar-EG"/>
        </w:rPr>
        <w:t xml:space="preserve"> و</w:t>
      </w:r>
      <w:r w:rsidRPr="009F0E76">
        <w:rPr>
          <w:spacing w:val="-4"/>
          <w:lang w:bidi="ar-EG"/>
        </w:rPr>
        <w:t>"SA"</w:t>
      </w:r>
      <w:r w:rsidRPr="009F0E76">
        <w:rPr>
          <w:rFonts w:hint="cs"/>
          <w:spacing w:val="-4"/>
          <w:rtl/>
          <w:lang w:bidi="ar-EG"/>
        </w:rPr>
        <w:t xml:space="preserve"> للإشارة إلى المحطة القاعدة لمساع</w:t>
      </w:r>
      <w:r w:rsidR="00741641">
        <w:rPr>
          <w:rFonts w:hint="cs"/>
          <w:spacing w:val="-4"/>
          <w:rtl/>
          <w:lang w:bidi="ar-EG"/>
        </w:rPr>
        <w:t>ِ</w:t>
      </w:r>
      <w:r w:rsidRPr="009F0E76">
        <w:rPr>
          <w:rFonts w:hint="cs"/>
          <w:spacing w:val="-4"/>
          <w:rtl/>
          <w:lang w:bidi="ar-EG"/>
        </w:rPr>
        <w:t>دات الأرصاد الجوية (محطة إرسال في خدمة مساع</w:t>
      </w:r>
      <w:r w:rsidR="00741641">
        <w:rPr>
          <w:rFonts w:hint="cs"/>
          <w:spacing w:val="-4"/>
          <w:rtl/>
          <w:lang w:bidi="ar-EG"/>
        </w:rPr>
        <w:t>ِ</w:t>
      </w:r>
      <w:r w:rsidRPr="009F0E76">
        <w:rPr>
          <w:rFonts w:hint="cs"/>
          <w:spacing w:val="-4"/>
          <w:rtl/>
          <w:lang w:bidi="ar-EG"/>
        </w:rPr>
        <w:t>دات الأرصاد الجوية) والمحطة المتنقلة لمساع</w:t>
      </w:r>
      <w:r w:rsidR="00741641">
        <w:rPr>
          <w:rFonts w:hint="cs"/>
          <w:spacing w:val="-4"/>
          <w:rtl/>
          <w:lang w:bidi="ar-EG"/>
        </w:rPr>
        <w:t>ِ</w:t>
      </w:r>
      <w:r w:rsidRPr="009F0E76">
        <w:rPr>
          <w:rFonts w:hint="cs"/>
          <w:spacing w:val="-4"/>
          <w:rtl/>
          <w:lang w:bidi="ar-EG"/>
        </w:rPr>
        <w:t>دات الأرصاد الجوية (محطة استقبال في خدمة مساع</w:t>
      </w:r>
      <w:r w:rsidR="00741641">
        <w:rPr>
          <w:rFonts w:hint="cs"/>
          <w:spacing w:val="-4"/>
          <w:rtl/>
          <w:lang w:bidi="ar-EG"/>
        </w:rPr>
        <w:t>ِ</w:t>
      </w:r>
      <w:r w:rsidRPr="009F0E76">
        <w:rPr>
          <w:rFonts w:hint="cs"/>
          <w:spacing w:val="-4"/>
          <w:rtl/>
          <w:lang w:bidi="ar-EG"/>
        </w:rPr>
        <w:t>دات الأرصاد الجوية). وتُنشر هاتان الفئتان من المحطات في</w:t>
      </w:r>
      <w:r w:rsidR="009F0E76">
        <w:rPr>
          <w:rFonts w:hint="eastAsia"/>
          <w:spacing w:val="-4"/>
          <w:rtl/>
          <w:lang w:bidi="ar-EG"/>
        </w:rPr>
        <w:t> </w:t>
      </w:r>
      <w:r w:rsidRPr="009F0E76">
        <w:rPr>
          <w:rFonts w:hint="cs"/>
          <w:spacing w:val="-4"/>
          <w:rtl/>
          <w:lang w:bidi="ar-EG"/>
        </w:rPr>
        <w:t>مقدمة النشرة الإعلامية الدولية للترددات الصادرة عن المكتب (خدمات الأرض) ولكنه</w:t>
      </w:r>
      <w:r w:rsidR="00D86018">
        <w:rPr>
          <w:rFonts w:hint="cs"/>
          <w:spacing w:val="-4"/>
          <w:rtl/>
          <w:lang w:bidi="ar-EG"/>
        </w:rPr>
        <w:t>م</w:t>
      </w:r>
      <w:r w:rsidRPr="009F0E76">
        <w:rPr>
          <w:rFonts w:hint="cs"/>
          <w:spacing w:val="-4"/>
          <w:rtl/>
          <w:lang w:bidi="ar-EG"/>
        </w:rPr>
        <w:t>ا غير مدرجتين في لوائح الراديو.</w:t>
      </w:r>
    </w:p>
    <w:p w:rsidR="00D87088" w:rsidRDefault="00D87088" w:rsidP="00D87088">
      <w:pPr>
        <w:rPr>
          <w:rtl/>
          <w:lang w:bidi="ar-EG"/>
        </w:rPr>
      </w:pPr>
      <w:r>
        <w:rPr>
          <w:rFonts w:hint="cs"/>
          <w:rtl/>
          <w:lang w:bidi="ar-OM"/>
        </w:rPr>
        <w:t xml:space="preserve">وعليه، تؤيد إدارات الدول العربية </w:t>
      </w:r>
      <w:r>
        <w:rPr>
          <w:rFonts w:hint="cs"/>
          <w:rtl/>
          <w:lang w:bidi="ar-SY"/>
        </w:rPr>
        <w:t xml:space="preserve">التعديلات الممكن إدخالها على المادة </w:t>
      </w:r>
      <w:r w:rsidRPr="002E4C3F">
        <w:rPr>
          <w:lang w:bidi="ar-SY"/>
        </w:rPr>
        <w:t>1</w:t>
      </w:r>
      <w:r>
        <w:rPr>
          <w:rFonts w:hint="cs"/>
          <w:rtl/>
          <w:lang w:bidi="ar-EG"/>
        </w:rPr>
        <w:t xml:space="preserve"> من لوائح الراديو لإدراج تعريف محطة راديوية تعمل ضمن خدمة مساع</w:t>
      </w:r>
      <w:r w:rsidR="00741641">
        <w:rPr>
          <w:rFonts w:hint="cs"/>
          <w:rtl/>
          <w:lang w:bidi="ar-EG"/>
        </w:rPr>
        <w:t>ِ</w:t>
      </w:r>
      <w:r>
        <w:rPr>
          <w:rFonts w:hint="cs"/>
          <w:rtl/>
          <w:lang w:bidi="ar-EG"/>
        </w:rPr>
        <w:t xml:space="preserve">دات الأرصاد الجوية. ويُقترح إضافة التعريفين الجديدين بعد الرقم </w:t>
      </w:r>
      <w:r w:rsidRPr="002E4C3F">
        <w:rPr>
          <w:lang w:bidi="ar-EG"/>
        </w:rPr>
        <w:t>109.1</w:t>
      </w:r>
      <w:r>
        <w:rPr>
          <w:rFonts w:hint="cs"/>
          <w:rtl/>
          <w:lang w:bidi="ar-EG"/>
        </w:rPr>
        <w:t xml:space="preserve"> من لوائح الراديو.</w:t>
      </w:r>
    </w:p>
    <w:p w:rsidR="00D87088" w:rsidRPr="00A25FFC" w:rsidRDefault="00D87088" w:rsidP="00421FCE">
      <w:pPr>
        <w:pStyle w:val="Headingb"/>
        <w:keepNext w:val="0"/>
        <w:spacing w:before="240"/>
        <w:rPr>
          <w:rtl/>
        </w:rPr>
      </w:pPr>
      <w:r>
        <w:rPr>
          <w:rFonts w:hint="cs"/>
          <w:rtl/>
        </w:rPr>
        <w:t>المقترح</w:t>
      </w:r>
    </w:p>
    <w:p w:rsidR="00D87088" w:rsidRDefault="00D87088" w:rsidP="00D87088">
      <w:pPr>
        <w:pStyle w:val="ArticleNo"/>
        <w:rPr>
          <w:rtl/>
          <w:lang w:bidi="ar-EG"/>
        </w:rPr>
      </w:pPr>
      <w:r>
        <w:rPr>
          <w:rFonts w:hint="cs"/>
          <w:rtl/>
        </w:rPr>
        <w:lastRenderedPageBreak/>
        <w:t xml:space="preserve">المادة </w:t>
      </w:r>
      <w:r>
        <w:t>1</w:t>
      </w:r>
    </w:p>
    <w:p w:rsidR="00D87088" w:rsidRDefault="00D87088" w:rsidP="00D87088">
      <w:pPr>
        <w:pStyle w:val="Articletitle"/>
        <w:rPr>
          <w:rtl/>
        </w:rPr>
      </w:pPr>
      <w:r>
        <w:rPr>
          <w:rFonts w:hint="cs"/>
          <w:rtl/>
        </w:rPr>
        <w:t>مصطلحات وتعريفات</w:t>
      </w:r>
    </w:p>
    <w:p w:rsidR="00D87088" w:rsidRDefault="00D87088" w:rsidP="00D87088">
      <w:pPr>
        <w:pStyle w:val="Section10"/>
        <w:rPr>
          <w:rtl/>
        </w:rPr>
      </w:pPr>
      <w:r>
        <w:rPr>
          <w:rFonts w:hint="cs"/>
          <w:rtl/>
        </w:rPr>
        <w:t xml:space="preserve">القسم </w:t>
      </w:r>
      <w:r>
        <w:t>IV</w:t>
      </w:r>
      <w:r>
        <w:rPr>
          <w:rFonts w:hint="cs"/>
          <w:rtl/>
        </w:rPr>
        <w:t xml:space="preserve"> </w:t>
      </w:r>
      <w:r w:rsidR="002E4C3F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2E4C3F">
        <w:rPr>
          <w:rFonts w:hint="cs"/>
          <w:rtl/>
        </w:rPr>
        <w:t xml:space="preserve"> </w:t>
      </w:r>
      <w:r>
        <w:rPr>
          <w:rFonts w:hint="cs"/>
          <w:rtl/>
        </w:rPr>
        <w:t xml:space="preserve"> المحطات والأنظمة الراديوية</w:t>
      </w:r>
    </w:p>
    <w:p w:rsidR="00D87088" w:rsidRDefault="00D87088" w:rsidP="002E4C3F">
      <w:pPr>
        <w:pStyle w:val="Proposal"/>
        <w:rPr>
          <w:rtl/>
        </w:rPr>
      </w:pPr>
      <w:r>
        <w:t>ADD</w:t>
      </w:r>
      <w:r w:rsidR="002E4C3F">
        <w:rPr>
          <w:rtl/>
        </w:rPr>
        <w:tab/>
      </w:r>
      <w:r>
        <w:t>ARB/</w:t>
      </w:r>
      <w:r w:rsidR="00741641">
        <w:t>25</w:t>
      </w:r>
      <w:r>
        <w:t>A23A1/1</w:t>
      </w:r>
    </w:p>
    <w:p w:rsidR="00D87088" w:rsidRDefault="00D87088" w:rsidP="00FD52D8">
      <w:pPr>
        <w:tabs>
          <w:tab w:val="left" w:pos="1478"/>
        </w:tabs>
        <w:rPr>
          <w:rtl/>
          <w:lang w:bidi="ar-EG"/>
        </w:rPr>
      </w:pPr>
      <w:r w:rsidRPr="00976BEB">
        <w:rPr>
          <w:rStyle w:val="Artdef"/>
        </w:rPr>
        <w:t>109.</w:t>
      </w:r>
      <w:r w:rsidRPr="000F1176">
        <w:rPr>
          <w:rStyle w:val="Artdef"/>
        </w:rPr>
        <w:t>1</w:t>
      </w:r>
      <w:r w:rsidRPr="00690D2C">
        <w:rPr>
          <w:rStyle w:val="Artdef"/>
          <w:rFonts w:hint="cs"/>
          <w:rtl/>
        </w:rPr>
        <w:t>مكرراً</w:t>
      </w:r>
      <w:r w:rsidR="00685A1A">
        <w:rPr>
          <w:i/>
          <w:iCs/>
          <w:rtl/>
          <w:lang w:bidi="ar-EG"/>
        </w:rPr>
        <w:tab/>
      </w:r>
      <w:r>
        <w:rPr>
          <w:i/>
          <w:iCs/>
          <w:rtl/>
          <w:lang w:bidi="ar-EG"/>
        </w:rPr>
        <w:tab/>
      </w:r>
      <w:r>
        <w:rPr>
          <w:rFonts w:hint="cs"/>
          <w:i/>
          <w:iCs/>
          <w:rtl/>
          <w:lang w:bidi="ar-EG"/>
        </w:rPr>
        <w:t>المحطة البرية لمساعِدات الأرصاد الجوية</w:t>
      </w:r>
      <w:r>
        <w:rPr>
          <w:rFonts w:hint="cs"/>
          <w:rtl/>
          <w:lang w:bidi="ar-EG"/>
        </w:rPr>
        <w:t xml:space="preserve">: هي </w:t>
      </w:r>
      <w:r>
        <w:rPr>
          <w:rFonts w:hint="cs"/>
          <w:i/>
          <w:iCs/>
          <w:rtl/>
          <w:lang w:bidi="ar-EG"/>
        </w:rPr>
        <w:t xml:space="preserve">محطة </w:t>
      </w:r>
      <w:r>
        <w:rPr>
          <w:rFonts w:hint="cs"/>
          <w:rtl/>
          <w:lang w:bidi="ar-EG"/>
        </w:rPr>
        <w:t xml:space="preserve">في </w:t>
      </w:r>
      <w:r w:rsidRPr="000F1176">
        <w:rPr>
          <w:rFonts w:hint="cs"/>
          <w:i/>
          <w:iCs/>
          <w:rtl/>
          <w:lang w:bidi="ar-EG"/>
        </w:rPr>
        <w:t xml:space="preserve">خدمة </w:t>
      </w:r>
      <w:r w:rsidR="00FD52D8">
        <w:rPr>
          <w:rFonts w:hint="cs"/>
          <w:i/>
          <w:iCs/>
          <w:rtl/>
          <w:lang w:bidi="ar-EG"/>
        </w:rPr>
        <w:t>مساعدات</w:t>
      </w:r>
      <w:r w:rsidRPr="000F1176">
        <w:rPr>
          <w:rFonts w:hint="cs"/>
          <w:i/>
          <w:iCs/>
          <w:rtl/>
          <w:lang w:bidi="ar-EG"/>
        </w:rPr>
        <w:t xml:space="preserve"> الأرصاد الجوية</w:t>
      </w:r>
      <w:r>
        <w:rPr>
          <w:rFonts w:hint="cs"/>
          <w:rtl/>
          <w:lang w:bidi="ar-EG"/>
        </w:rPr>
        <w:t>، غير مُعدّة للاستعمال أثناء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تحركها.</w:t>
      </w:r>
    </w:p>
    <w:p w:rsidR="002E4C3F" w:rsidRDefault="002E4C3F" w:rsidP="002E4C3F">
      <w:pPr>
        <w:pStyle w:val="Reasons"/>
        <w:rPr>
          <w:rFonts w:hint="cs"/>
          <w:rtl/>
          <w:lang w:bidi="ar-EG"/>
        </w:rPr>
      </w:pPr>
    </w:p>
    <w:p w:rsidR="00D87088" w:rsidRDefault="00D87088" w:rsidP="002E4C3F">
      <w:pPr>
        <w:pStyle w:val="Proposal"/>
      </w:pPr>
      <w:r>
        <w:t>ADD</w:t>
      </w:r>
      <w:r w:rsidR="002E4C3F">
        <w:rPr>
          <w:rtl/>
        </w:rPr>
        <w:tab/>
      </w:r>
      <w:r>
        <w:t>ARB/</w:t>
      </w:r>
      <w:r w:rsidR="00741641">
        <w:t>25</w:t>
      </w:r>
      <w:r>
        <w:t>A23A1/2</w:t>
      </w:r>
    </w:p>
    <w:p w:rsidR="00D87088" w:rsidRDefault="00D87088" w:rsidP="00FD52D8">
      <w:pPr>
        <w:tabs>
          <w:tab w:val="clear" w:pos="1134"/>
          <w:tab w:val="left" w:pos="1277"/>
          <w:tab w:val="left" w:pos="1478"/>
        </w:tabs>
        <w:rPr>
          <w:rtl/>
          <w:lang w:bidi="ar-EG"/>
        </w:rPr>
      </w:pPr>
      <w:r w:rsidRPr="00690D2C">
        <w:rPr>
          <w:rStyle w:val="Artdef"/>
        </w:rPr>
        <w:t>109.1</w:t>
      </w:r>
      <w:r w:rsidRPr="00690D2C">
        <w:rPr>
          <w:rStyle w:val="Artdef"/>
          <w:rFonts w:hint="cs"/>
          <w:rtl/>
        </w:rPr>
        <w:t xml:space="preserve">مكرراً </w:t>
      </w:r>
      <w:r w:rsidR="002E4C3F" w:rsidRPr="00690D2C">
        <w:rPr>
          <w:rStyle w:val="Artdef"/>
          <w:rFonts w:hint="cs"/>
          <w:rtl/>
        </w:rPr>
        <w:t>ثانياً</w:t>
      </w:r>
      <w:r w:rsidR="00685A1A">
        <w:rPr>
          <w:i/>
          <w:iCs/>
          <w:rtl/>
          <w:lang w:bidi="ar-EG"/>
        </w:rPr>
        <w:tab/>
      </w:r>
      <w:r>
        <w:rPr>
          <w:rFonts w:hint="cs"/>
          <w:i/>
          <w:iCs/>
          <w:rtl/>
          <w:lang w:bidi="ar-EG"/>
        </w:rPr>
        <w:tab/>
        <w:t xml:space="preserve">المحطة المتنقلة لمساعِدات الأرصاد الجوية: </w:t>
      </w:r>
      <w:r>
        <w:rPr>
          <w:rFonts w:hint="cs"/>
          <w:rtl/>
          <w:lang w:bidi="ar-EG"/>
        </w:rPr>
        <w:t xml:space="preserve">هي </w:t>
      </w:r>
      <w:r>
        <w:rPr>
          <w:rFonts w:hint="cs"/>
          <w:i/>
          <w:iCs/>
          <w:rtl/>
          <w:lang w:bidi="ar-EG"/>
        </w:rPr>
        <w:t xml:space="preserve">محطة </w:t>
      </w:r>
      <w:r w:rsidRPr="000F1176">
        <w:rPr>
          <w:rFonts w:hint="cs"/>
          <w:i/>
          <w:iCs/>
          <w:rtl/>
          <w:lang w:bidi="ar-EG"/>
        </w:rPr>
        <w:t>متنقلة</w:t>
      </w:r>
      <w:r>
        <w:rPr>
          <w:rFonts w:hint="cs"/>
          <w:rtl/>
          <w:lang w:bidi="ar-EG"/>
        </w:rPr>
        <w:t xml:space="preserve"> في </w:t>
      </w:r>
      <w:r w:rsidRPr="000F1176">
        <w:rPr>
          <w:rFonts w:hint="cs"/>
          <w:i/>
          <w:iCs/>
          <w:rtl/>
          <w:lang w:bidi="ar-EG"/>
        </w:rPr>
        <w:t xml:space="preserve">خدمة </w:t>
      </w:r>
      <w:r w:rsidR="00FD52D8">
        <w:rPr>
          <w:rFonts w:hint="cs"/>
          <w:i/>
          <w:iCs/>
          <w:rtl/>
          <w:lang w:bidi="ar-EG"/>
        </w:rPr>
        <w:t>مساعدات</w:t>
      </w:r>
      <w:bookmarkStart w:id="1" w:name="_GoBack"/>
      <w:bookmarkEnd w:id="1"/>
      <w:r w:rsidRPr="000F1176">
        <w:rPr>
          <w:rFonts w:hint="cs"/>
          <w:i/>
          <w:iCs/>
          <w:rtl/>
          <w:lang w:bidi="ar-EG"/>
        </w:rPr>
        <w:t xml:space="preserve"> الأرصاد الجوية</w:t>
      </w:r>
      <w:r>
        <w:rPr>
          <w:rFonts w:hint="cs"/>
          <w:rtl/>
          <w:lang w:bidi="ar-EG"/>
        </w:rPr>
        <w:t xml:space="preserve"> مُعدة للاستعمال أثناء تحركها أو أثناء الوقوف عند نقاط غير محددة.</w:t>
      </w:r>
    </w:p>
    <w:p w:rsidR="002E4C3F" w:rsidRDefault="002E4C3F" w:rsidP="002E4C3F">
      <w:pPr>
        <w:pStyle w:val="Reasons"/>
        <w:rPr>
          <w:rtl/>
        </w:rPr>
      </w:pPr>
    </w:p>
    <w:p w:rsidR="00D35D9D" w:rsidRDefault="00E31352" w:rsidP="00B47076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D35D9D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D87088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9F0E76">
      <w:rPr>
        <w:noProof/>
        <w:lang w:val="es-ES"/>
      </w:rPr>
      <w:t>P:\ARA\ITU-R\CONF-R\CMR15\000\025ADD23Add01A.docx</w:t>
    </w:r>
    <w:r w:rsidRPr="00CB4300">
      <w:fldChar w:fldCharType="end"/>
    </w:r>
    <w:r w:rsidRPr="00CB4300">
      <w:rPr>
        <w:lang w:val="es-ES"/>
      </w:rPr>
      <w:t xml:space="preserve">  (</w:t>
    </w:r>
    <w:r w:rsidR="00D87088">
      <w:rPr>
        <w:lang w:val="es-ES"/>
      </w:rPr>
      <w:t>386906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AF00E4">
      <w:rPr>
        <w:noProof/>
      </w:rPr>
      <w:t>15.10.15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9F0E76">
      <w:rPr>
        <w:noProof/>
      </w:rPr>
      <w:t>14.10.15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D87088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9F0E76">
      <w:rPr>
        <w:noProof/>
        <w:lang w:val="es-ES"/>
      </w:rPr>
      <w:t>P:\ARA\ITU-R\CONF-R\CMR15\000\025ADD23Add01A.docx</w:t>
    </w:r>
    <w:r>
      <w:fldChar w:fldCharType="end"/>
    </w:r>
    <w:r w:rsidRPr="00CB4300">
      <w:rPr>
        <w:lang w:val="es-ES"/>
      </w:rPr>
      <w:t xml:space="preserve">   (</w:t>
    </w:r>
    <w:r w:rsidR="00D87088">
      <w:rPr>
        <w:lang w:val="es-ES"/>
      </w:rPr>
      <w:t>386906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F00E4">
      <w:rPr>
        <w:noProof/>
      </w:rPr>
      <w:t>15.10.15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F0E76">
      <w:rPr>
        <w:noProof/>
      </w:rPr>
      <w:t>14.10.15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D52D8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25(Add.23)(Add.1)-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4C3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1FCE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B3CB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85A1A"/>
    <w:rsid w:val="00690D2C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641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0E76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00E4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47076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35D9D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86018"/>
    <w:rsid w:val="00D87088"/>
    <w:rsid w:val="00D943E5"/>
    <w:rsid w:val="00DA1AE0"/>
    <w:rsid w:val="00DC29DD"/>
    <w:rsid w:val="00DC7C0E"/>
    <w:rsid w:val="00DE6D6C"/>
    <w:rsid w:val="00DF2A6A"/>
    <w:rsid w:val="00DF3B72"/>
    <w:rsid w:val="00E10821"/>
    <w:rsid w:val="00E165ED"/>
    <w:rsid w:val="00E2489D"/>
    <w:rsid w:val="00E25C06"/>
    <w:rsid w:val="00E26520"/>
    <w:rsid w:val="00E31352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D52D8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FC4830ED-408D-42D8-B2FD-8F8AFC78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690D2C"/>
    <w:rPr>
      <w:rFonts w:ascii="Times New Roman Bold" w:hAnsi="Times New Roman Bold" w:cs="Traditional Arabic"/>
      <w:b/>
      <w:bCs/>
      <w:i w:val="0"/>
      <w:iCs/>
      <w:color w:val="auto"/>
      <w:sz w:val="22"/>
      <w:szCs w:val="26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link w:val="ProposalChar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ArticleNo">
    <w:name w:val="Article No"/>
    <w:basedOn w:val="Normal"/>
    <w:qFormat/>
    <w:rsid w:val="00D87088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rticletitle">
    <w:name w:val="Article title"/>
    <w:basedOn w:val="ArticleNo"/>
    <w:qFormat/>
    <w:rsid w:val="00D87088"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0">
    <w:name w:val="Section 1"/>
    <w:basedOn w:val="Normal"/>
    <w:qFormat/>
    <w:rsid w:val="00D87088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240"/>
      <w:jc w:val="center"/>
    </w:pPr>
    <w:rPr>
      <w:rFonts w:ascii="Times New Roman Bold" w:eastAsiaTheme="minorEastAsia" w:hAnsi="Times New Roman Bold"/>
      <w:b/>
      <w:bCs/>
      <w:sz w:val="24"/>
      <w:szCs w:val="32"/>
      <w:lang w:eastAsia="zh-CN" w:bidi="ar-SY"/>
    </w:rPr>
  </w:style>
  <w:style w:type="character" w:customStyle="1" w:styleId="ProposalChar">
    <w:name w:val="Proposal Char"/>
    <w:basedOn w:val="DefaultParagraphFont"/>
    <w:link w:val="Proposal"/>
    <w:locked/>
    <w:rsid w:val="00D87088"/>
    <w:rPr>
      <w:rFonts w:ascii="Times New Roman Bold" w:hAnsi="Times New Roman Bold" w:cs="Traditional Arabic"/>
      <w:b/>
      <w:bCs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R15-WRC15-C-0025!A23-A1!MSW-A</DPM_x0020_File_x0020_name>
    <DPM_x0020_Author xmlns="32a1a8c5-2265-4ebc-b7a0-2071e2c5c9bb" xsi:nil="false">Documents Proposals Manager (DPM)</DPM_x0020_Author>
    <DPM_x0020_Version xmlns="32a1a8c5-2265-4ebc-b7a0-2071e2c5c9bb" xsi:nil="false">DPM_v5.2015.10.14_prod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D5D252-458C-40B1-8095-2A5BB66647DB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892088-7A1F-4E14-AE6B-28F339C2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337</Words>
  <Characters>1920</Characters>
  <Application>Microsoft Office Word</Application>
  <DocSecurity>0</DocSecurity>
  <Lines>73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R15-WRC15-C-0025!A23-A1!MSW-A</vt:lpstr>
    </vt:vector>
  </TitlesOfParts>
  <Manager>General Secretariat - Pool</Manager>
  <Company>International Telecommunication Union (ITU)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R15-WRC15-C-0025!A23-A1!MSW-A</dc:title>
  <dc:creator>Documents Proposals Manager (DPM)</dc:creator>
  <cp:keywords>DPM_v5.2015.10.14_prod</cp:keywords>
  <cp:lastModifiedBy>Awad, Samy</cp:lastModifiedBy>
  <cp:revision>14</cp:revision>
  <cp:lastPrinted>2015-10-14T20:56:00Z</cp:lastPrinted>
  <dcterms:created xsi:type="dcterms:W3CDTF">2015-10-14T20:43:00Z</dcterms:created>
  <dcterms:modified xsi:type="dcterms:W3CDTF">2015-10-15T21:46:00Z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