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107"/>
        <w:gridCol w:w="3120"/>
      </w:tblGrid>
      <w:tr w:rsidR="0090121B" w:rsidRPr="0002785D" w:rsidTr="0050008E">
        <w:trPr>
          <w:cantSplit/>
        </w:trPr>
        <w:tc>
          <w:tcPr>
            <w:tcW w:w="6911" w:type="dxa"/>
            <w:gridSpan w:val="2"/>
          </w:tcPr>
          <w:p w:rsidR="0090121B" w:rsidRPr="00022A4B"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bookmarkStart w:id="0" w:name="ditulogo"/>
            <w:bookmarkEnd w:id="0"/>
            <w:r>
              <w:rPr>
                <w:noProof/>
                <w:lang w:val="en-GB" w:eastAsia="zh-CN"/>
              </w:rPr>
              <w:drawing>
                <wp:inline distT="0" distB="0" distL="0" distR="0" wp14:anchorId="462DEC67" wp14:editId="6AD30C9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gridSpan w:val="2"/>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gridSpan w:val="2"/>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D814A8">
        <w:trPr>
          <w:cantSplit/>
        </w:trPr>
        <w:tc>
          <w:tcPr>
            <w:tcW w:w="6804"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227" w:type="dxa"/>
            <w:gridSpan w:val="2"/>
            <w:shd w:val="clear" w:color="auto" w:fill="auto"/>
          </w:tcPr>
          <w:p w:rsidR="0090121B" w:rsidRPr="00022A4B" w:rsidRDefault="00AE658F" w:rsidP="0045384C">
            <w:pPr>
              <w:spacing w:before="0"/>
              <w:rPr>
                <w:rFonts w:ascii="Verdana" w:hAnsi="Verdana"/>
                <w:sz w:val="20"/>
              </w:rPr>
            </w:pPr>
            <w:r w:rsidRPr="00022A4B">
              <w:rPr>
                <w:rFonts w:ascii="Verdana" w:eastAsia="SimSun" w:hAnsi="Verdana" w:cs="Traditional Arabic"/>
                <w:b/>
                <w:sz w:val="20"/>
              </w:rPr>
              <w:t>Addéndum 3 al</w:t>
            </w:r>
            <w:r w:rsidRPr="00022A4B">
              <w:rPr>
                <w:rFonts w:ascii="Verdana" w:eastAsia="SimSun" w:hAnsi="Verdana" w:cs="Traditional Arabic"/>
                <w:b/>
                <w:sz w:val="20"/>
              </w:rPr>
              <w:br/>
              <w:t>Documento 25(Add.20)</w:t>
            </w:r>
            <w:r w:rsidR="0090121B" w:rsidRPr="00022A4B">
              <w:rPr>
                <w:rFonts w:ascii="Verdana" w:hAnsi="Verdana"/>
                <w:b/>
                <w:sz w:val="20"/>
              </w:rPr>
              <w:t>-</w:t>
            </w:r>
            <w:r w:rsidRPr="00022A4B">
              <w:rPr>
                <w:rFonts w:ascii="Verdana" w:hAnsi="Verdana"/>
                <w:b/>
                <w:sz w:val="20"/>
              </w:rPr>
              <w:t>S</w:t>
            </w:r>
          </w:p>
        </w:tc>
      </w:tr>
      <w:bookmarkEnd w:id="1"/>
      <w:tr w:rsidR="000A5B9A" w:rsidRPr="0002785D" w:rsidTr="00D814A8">
        <w:trPr>
          <w:cantSplit/>
        </w:trPr>
        <w:tc>
          <w:tcPr>
            <w:tcW w:w="6804" w:type="dxa"/>
            <w:shd w:val="clear" w:color="auto" w:fill="auto"/>
            <w:vAlign w:val="center"/>
          </w:tcPr>
          <w:p w:rsidR="000A5B9A" w:rsidRPr="00022A4B" w:rsidRDefault="000A5B9A" w:rsidP="0045384C">
            <w:pPr>
              <w:spacing w:before="0" w:after="48"/>
              <w:rPr>
                <w:rFonts w:ascii="Verdana" w:hAnsi="Verdana"/>
                <w:b/>
                <w:smallCaps/>
                <w:sz w:val="20"/>
              </w:rPr>
            </w:pPr>
          </w:p>
        </w:tc>
        <w:tc>
          <w:tcPr>
            <w:tcW w:w="3227" w:type="dxa"/>
            <w:gridSpan w:val="2"/>
            <w:shd w:val="clear" w:color="auto" w:fill="auto"/>
            <w:vAlign w:val="center"/>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10 de septiembre de 2015</w:t>
            </w:r>
          </w:p>
        </w:tc>
      </w:tr>
      <w:tr w:rsidR="000A5B9A" w:rsidRPr="0002785D" w:rsidTr="00D814A8">
        <w:trPr>
          <w:cantSplit/>
        </w:trPr>
        <w:tc>
          <w:tcPr>
            <w:tcW w:w="6804" w:type="dxa"/>
          </w:tcPr>
          <w:p w:rsidR="000A5B9A" w:rsidRPr="0002785D" w:rsidRDefault="000A5B9A" w:rsidP="0045384C">
            <w:pPr>
              <w:spacing w:before="0" w:after="48"/>
              <w:rPr>
                <w:rFonts w:ascii="Verdana" w:hAnsi="Verdana"/>
                <w:b/>
                <w:smallCaps/>
                <w:sz w:val="20"/>
                <w:lang w:val="en-US"/>
              </w:rPr>
            </w:pPr>
          </w:p>
        </w:tc>
        <w:tc>
          <w:tcPr>
            <w:tcW w:w="3227" w:type="dxa"/>
            <w:gridSpan w:val="2"/>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árabe</w:t>
            </w:r>
          </w:p>
        </w:tc>
      </w:tr>
      <w:tr w:rsidR="000A5B9A" w:rsidRPr="0002785D" w:rsidTr="006744FC">
        <w:trPr>
          <w:cantSplit/>
        </w:trPr>
        <w:tc>
          <w:tcPr>
            <w:tcW w:w="10031" w:type="dxa"/>
            <w:gridSpan w:val="3"/>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3"/>
          </w:tcPr>
          <w:p w:rsidR="000A5B9A" w:rsidRPr="00022A4B" w:rsidRDefault="000A5B9A" w:rsidP="000A5B9A">
            <w:pPr>
              <w:pStyle w:val="Source"/>
            </w:pPr>
            <w:bookmarkStart w:id="2" w:name="dsource" w:colFirst="0" w:colLast="0"/>
            <w:r w:rsidRPr="00022A4B">
              <w:t>Propuestas Comunes de los Estados Árabes</w:t>
            </w:r>
          </w:p>
        </w:tc>
      </w:tr>
      <w:tr w:rsidR="000A5B9A" w:rsidRPr="0002785D" w:rsidTr="0050008E">
        <w:trPr>
          <w:cantSplit/>
        </w:trPr>
        <w:tc>
          <w:tcPr>
            <w:tcW w:w="10031" w:type="dxa"/>
            <w:gridSpan w:val="3"/>
          </w:tcPr>
          <w:p w:rsidR="000A5B9A" w:rsidRPr="00022A4B" w:rsidRDefault="00022A4B" w:rsidP="000A5B9A">
            <w:pPr>
              <w:pStyle w:val="Title1"/>
            </w:pPr>
            <w:bookmarkStart w:id="3" w:name="dtitle1" w:colFirst="0" w:colLast="0"/>
            <w:bookmarkEnd w:id="2"/>
            <w:r w:rsidRPr="00022A4B">
              <w:t>PROPU</w:t>
            </w:r>
            <w:r>
              <w:t>ESTAS PARA LOS TRABAJOS DE LA CONFERENCIA</w:t>
            </w:r>
          </w:p>
        </w:tc>
      </w:tr>
      <w:tr w:rsidR="000A5B9A" w:rsidRPr="0002785D" w:rsidTr="0050008E">
        <w:trPr>
          <w:cantSplit/>
        </w:trPr>
        <w:tc>
          <w:tcPr>
            <w:tcW w:w="10031" w:type="dxa"/>
            <w:gridSpan w:val="3"/>
          </w:tcPr>
          <w:p w:rsidR="000A5B9A" w:rsidRPr="00022A4B" w:rsidRDefault="000A5B9A" w:rsidP="000A5B9A">
            <w:pPr>
              <w:pStyle w:val="Title2"/>
            </w:pPr>
            <w:bookmarkStart w:id="4" w:name="dtitle2" w:colFirst="0" w:colLast="0"/>
            <w:bookmarkEnd w:id="3"/>
          </w:p>
        </w:tc>
      </w:tr>
      <w:tr w:rsidR="000A5B9A" w:rsidTr="0050008E">
        <w:trPr>
          <w:cantSplit/>
        </w:trPr>
        <w:tc>
          <w:tcPr>
            <w:tcW w:w="10031" w:type="dxa"/>
            <w:gridSpan w:val="3"/>
          </w:tcPr>
          <w:p w:rsidR="000A5B9A" w:rsidRDefault="000A5B9A" w:rsidP="000A5B9A">
            <w:pPr>
              <w:pStyle w:val="Agendaitem"/>
            </w:pPr>
            <w:bookmarkStart w:id="5" w:name="dtitle3" w:colFirst="0" w:colLast="0"/>
            <w:bookmarkEnd w:id="4"/>
            <w:r w:rsidRPr="00AE658F">
              <w:t>Punto 9.1(9.1.3) del orden del día</w:t>
            </w:r>
          </w:p>
        </w:tc>
      </w:tr>
    </w:tbl>
    <w:bookmarkEnd w:id="5"/>
    <w:p w:rsidR="006C20F8" w:rsidRPr="00211854" w:rsidRDefault="006845F7" w:rsidP="00D5553B">
      <w:r w:rsidRPr="00211854">
        <w:t>9</w:t>
      </w:r>
      <w:r w:rsidRPr="00211854">
        <w:tab/>
        <w:t>examinar y aprobar el Informe del Director de la Oficina de Radiocomunicaciones, de conformidad con el Artículo 7 del Convenio:</w:t>
      </w:r>
    </w:p>
    <w:p w:rsidR="001C0E40" w:rsidRPr="00482C06" w:rsidRDefault="006845F7" w:rsidP="00D5553B">
      <w:r w:rsidRPr="00211854">
        <w:t>9.1</w:t>
      </w:r>
      <w:r w:rsidRPr="00211854">
        <w:tab/>
        <w:t>sobre las actividades del Sector de Radiocomunicaciones desde la CMR-12;</w:t>
      </w:r>
    </w:p>
    <w:p w:rsidR="001C0E40" w:rsidRDefault="006845F7" w:rsidP="004071FB">
      <w:r>
        <w:t xml:space="preserve">9.1(9.1.3) </w:t>
      </w:r>
      <w:r>
        <w:tab/>
      </w:r>
      <w:r w:rsidRPr="00A064AD">
        <w:t xml:space="preserve">Resolución </w:t>
      </w:r>
      <w:r w:rsidRPr="00AB2AD8">
        <w:rPr>
          <w:b/>
          <w:bCs/>
        </w:rPr>
        <w:t>11 (CMR-12)</w:t>
      </w:r>
      <w:r w:rsidRPr="00A064AD">
        <w:t xml:space="preserve"> </w:t>
      </w:r>
      <w:r w:rsidR="004071FB">
        <w:t>–</w:t>
      </w:r>
      <w:r w:rsidRPr="00A064AD">
        <w:t xml:space="preserve"> Utilización de las posiciones orbitales de satélite y el espectro de frecuencias asociado para prestar servicios públicos de telecomunicaciones internacionales en países en desarrollo</w:t>
      </w:r>
    </w:p>
    <w:p w:rsidR="00D814A8" w:rsidRDefault="00D814A8" w:rsidP="00D814A8"/>
    <w:p w:rsidR="00A879ED" w:rsidRPr="00A879ED" w:rsidRDefault="00C13FC2" w:rsidP="00D5553B">
      <w:pPr>
        <w:pStyle w:val="Headingb"/>
      </w:pPr>
      <w:r w:rsidRPr="004071FB">
        <w:rPr>
          <w:rFonts w:asciiTheme="majorBidi" w:hAnsiTheme="majorBidi" w:cstheme="majorBidi"/>
        </w:rPr>
        <w:t>Introducción</w:t>
      </w:r>
    </w:p>
    <w:p w:rsidR="00363A65" w:rsidRPr="00D5553B" w:rsidRDefault="004D7224" w:rsidP="00D5553B">
      <w:r>
        <w:t xml:space="preserve">En la </w:t>
      </w:r>
      <w:r w:rsidR="00A879ED" w:rsidRPr="00D5553B">
        <w:t>Resolución 11 (CMR-12) se resuelve que el UIT-R realice estudios para determinar si pudiera ser necesario aplicar medidas reglamentarias adicionales para mejorar la disponibilidad de los servicios de telecomunicaciones públicos internacionales prestados mediante la tecnología de satélite; y se invita a los Estados Miembros y a los Miembros del Sector a contribuir a la aplicación de la Resolución 11 (CMR-12).</w:t>
      </w:r>
    </w:p>
    <w:p w:rsidR="00A879ED" w:rsidRPr="00D5553B" w:rsidRDefault="00A879ED" w:rsidP="00D5553B">
      <w:r w:rsidRPr="00D5553B">
        <w:t>Además, la Resolución 11 (CMR-12) pide que el UIT-R y el UIT-D realicen estudios y colaboren para dar información, incluso mediante talleres, seminarios y cursos de formación, sobre las aplicaciones y tecnologías de satélite, como se definen en las Recomendaciones e Informes del UIT-R, y sobre los procedimientos reglamentarios de los satélites del Reglamento de Radiocomunicaciones (RR) que ayuden a los países en desarrollo a desarrollar e implantar redes y servicios de satélites.</w:t>
      </w:r>
    </w:p>
    <w:p w:rsidR="00A879ED" w:rsidRDefault="004D7224" w:rsidP="00D5553B">
      <w:r>
        <w:rPr>
          <w:rFonts w:eastAsiaTheme="minorHAnsi"/>
          <w:szCs w:val="24"/>
        </w:rPr>
        <w:t>Los estudios del UIT</w:t>
      </w:r>
      <w:r w:rsidR="00A879ED" w:rsidRPr="00800A86">
        <w:rPr>
          <w:rFonts w:eastAsiaTheme="minorHAnsi"/>
          <w:szCs w:val="24"/>
        </w:rPr>
        <w:t xml:space="preserve">-R </w:t>
      </w:r>
      <w:r>
        <w:rPr>
          <w:rFonts w:eastAsiaTheme="minorHAnsi"/>
          <w:szCs w:val="24"/>
        </w:rPr>
        <w:t>indican que l</w:t>
      </w:r>
      <w:r w:rsidR="00A879ED" w:rsidRPr="004A7455">
        <w:t xml:space="preserve">os procedimientos de reglamentación de los satélites vigentes en el RR, junto con la privatización y la competencia existentes en el entorno mundial de las telecomunicaciones, han permitido a los países en desarrollo tener un mayor número de operadores de satélite, un mayor número de satélites en fase de desarrollo, una mayor demanda de servicios de satélite con mayor anchura de banda y una mayor diversidad de servicios disponibles para el público. Aunque sigue planteando problemas en los países en desarrollo la creación de capacidades destinadas a sacar el máximo provecho de los servicios de satélite y del recurso orbital, la actual </w:t>
      </w:r>
      <w:r w:rsidR="00A879ED" w:rsidRPr="004A7455">
        <w:lastRenderedPageBreak/>
        <w:t>situación demuestra que, gracias a la aplicación de los procedimientos de reglamentación vigentes, esos países pueden prestar servicios públicos de telecomunicaciones internacionales.</w:t>
      </w:r>
    </w:p>
    <w:p w:rsidR="00A879ED" w:rsidRDefault="004D7224" w:rsidP="00D5553B">
      <w:r>
        <w:t>Por consiguiente</w:t>
      </w:r>
      <w:r w:rsidR="00A879ED" w:rsidRPr="00A879ED">
        <w:t xml:space="preserve">, </w:t>
      </w:r>
      <w:r>
        <w:t xml:space="preserve">las administraciones de los Estados Árabes consideran </w:t>
      </w:r>
      <w:r w:rsidR="00A879ED" w:rsidRPr="00907C82">
        <w:t xml:space="preserve">que la situación y las prácticas actuales no necesitan medidas reglamentarias adicionales para garantizar la prestación de servicios públicos de telecomunicaciones internacionales por satélite, puesto que los actuales satélites comerciales ya realizan esta función, dado que la competencia </w:t>
      </w:r>
      <w:bookmarkStart w:id="6" w:name="_GoBack"/>
      <w:bookmarkEnd w:id="6"/>
      <w:r w:rsidR="00A879ED" w:rsidRPr="00907C82">
        <w:t>reinante ofrece servicios de satélite a precios asequibles. Podría ser conveniente que las autoridades nacionales de reglamentación sometiesen dichos satélites comerciales a un régimen reglamentario nacional adecuado</w:t>
      </w:r>
      <w:r w:rsidR="00A879ED">
        <w:t>.</w:t>
      </w:r>
    </w:p>
    <w:p w:rsidR="004D7224" w:rsidRDefault="004D7224" w:rsidP="00D5553B">
      <w:r>
        <w:t>Por lo tanto, estas administraciones proponen que no se introduzcan cambios en el Reglamento de Radiocomunicaciones y que se suprima la Resolución 11 (CMR-12).</w:t>
      </w:r>
    </w:p>
    <w:p w:rsidR="008750A8" w:rsidRPr="00D5553B" w:rsidRDefault="00A879ED" w:rsidP="00D5553B">
      <w:pPr>
        <w:pStyle w:val="Headingb"/>
      </w:pPr>
      <w:r w:rsidRPr="00D814A8">
        <w:rPr>
          <w:rFonts w:asciiTheme="majorBidi" w:hAnsiTheme="majorBidi" w:cstheme="majorBidi"/>
        </w:rPr>
        <w:t>Prop</w:t>
      </w:r>
      <w:r w:rsidR="004D7224" w:rsidRPr="00D814A8">
        <w:rPr>
          <w:rFonts w:asciiTheme="majorBidi" w:hAnsiTheme="majorBidi" w:cstheme="majorBidi"/>
        </w:rPr>
        <w:t>uestas</w:t>
      </w:r>
    </w:p>
    <w:p w:rsidR="00380971" w:rsidRPr="00D5553B" w:rsidRDefault="006845F7" w:rsidP="00D5553B">
      <w:pPr>
        <w:pStyle w:val="Proposal"/>
      </w:pPr>
      <w:r w:rsidRPr="00D5553B">
        <w:rPr>
          <w:u w:val="single"/>
        </w:rPr>
        <w:t>NOC</w:t>
      </w:r>
      <w:r w:rsidRPr="00D5553B">
        <w:tab/>
        <w:t>ARB/25A20A3/1</w:t>
      </w:r>
    </w:p>
    <w:p w:rsidR="00A879ED" w:rsidRPr="00D5553B" w:rsidRDefault="00A879ED" w:rsidP="00D5553B">
      <w:pPr>
        <w:jc w:val="center"/>
        <w:rPr>
          <w:b/>
          <w:bCs/>
        </w:rPr>
      </w:pPr>
      <w:r w:rsidRPr="00D5553B">
        <w:rPr>
          <w:b/>
          <w:bCs/>
        </w:rPr>
        <w:t>R</w:t>
      </w:r>
      <w:r w:rsidR="00087F08" w:rsidRPr="00D5553B">
        <w:rPr>
          <w:b/>
          <w:bCs/>
        </w:rPr>
        <w:t>EGLAMENTO DE RADIOCOMUNICACIONES</w:t>
      </w:r>
    </w:p>
    <w:p w:rsidR="00D5553B" w:rsidRPr="00D5553B" w:rsidRDefault="00D5553B" w:rsidP="00D814A8">
      <w:pPr>
        <w:pStyle w:val="Reasons"/>
      </w:pPr>
    </w:p>
    <w:p w:rsidR="00380971" w:rsidRPr="00986E95" w:rsidRDefault="006845F7" w:rsidP="00D5553B">
      <w:pPr>
        <w:pStyle w:val="Proposal"/>
      </w:pPr>
      <w:r w:rsidRPr="00986E95">
        <w:t>SUP</w:t>
      </w:r>
      <w:r w:rsidRPr="00986E95">
        <w:tab/>
        <w:t>ARB/25A20A3/2</w:t>
      </w:r>
    </w:p>
    <w:p w:rsidR="0055573A" w:rsidRPr="00D14182" w:rsidRDefault="006845F7" w:rsidP="00D5553B">
      <w:pPr>
        <w:pStyle w:val="ResNo"/>
      </w:pPr>
      <w:bookmarkStart w:id="7" w:name="_Toc328141217"/>
      <w:r w:rsidRPr="00A0118D">
        <w:t>RESOLUCIÓN</w:t>
      </w:r>
      <w:r w:rsidRPr="00D14182">
        <w:t xml:space="preserve"> 11 (cmr-12)</w:t>
      </w:r>
      <w:bookmarkEnd w:id="7"/>
    </w:p>
    <w:p w:rsidR="00380971" w:rsidRDefault="006845F7" w:rsidP="00D5553B">
      <w:pPr>
        <w:pStyle w:val="Restitle"/>
      </w:pPr>
      <w:bookmarkStart w:id="8" w:name="_Toc328141218"/>
      <w:r w:rsidRPr="00D14182">
        <w:t>Utilización de las posiciones orbitales de satélite y el espectro de frecuencias asociado para prestar servicios públicos de telecomunicaciones internacionales</w:t>
      </w:r>
      <w:r w:rsidRPr="00D14182">
        <w:br/>
        <w:t>en países en desarrollo</w:t>
      </w:r>
      <w:bookmarkEnd w:id="8"/>
    </w:p>
    <w:p w:rsidR="00D814A8" w:rsidRDefault="00D814A8" w:rsidP="0032202E">
      <w:pPr>
        <w:pStyle w:val="Reasons"/>
      </w:pPr>
    </w:p>
    <w:p w:rsidR="00D814A8" w:rsidRDefault="00D814A8" w:rsidP="0032202E">
      <w:pPr>
        <w:pStyle w:val="Reasons"/>
      </w:pPr>
    </w:p>
    <w:p w:rsidR="00D814A8" w:rsidRDefault="00D814A8">
      <w:pPr>
        <w:jc w:val="center"/>
      </w:pPr>
      <w:r>
        <w:t>______________</w:t>
      </w:r>
    </w:p>
    <w:sectPr w:rsidR="00D814A8">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D814A8">
      <w:rPr>
        <w:noProof/>
      </w:rPr>
      <w:t>19.10.15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3B" w:rsidRDefault="00D5553B" w:rsidP="00D5553B">
    <w:pPr>
      <w:pStyle w:val="Footer"/>
    </w:pPr>
    <w:fldSimple w:instr=" FILENAME \p  \* MERGEFORMAT ">
      <w:r>
        <w:t>P:\ESP\ITU-R\CONF-R\CMR15\000\025ADD20ADD03S.docx</w:t>
      </w:r>
    </w:fldSimple>
    <w:r>
      <w:t xml:space="preserve"> (386913)</w:t>
    </w:r>
    <w:r>
      <w:tab/>
    </w:r>
    <w:r>
      <w:fldChar w:fldCharType="begin"/>
    </w:r>
    <w:r>
      <w:instrText xml:space="preserve"> SAVEDATE \@ DD.MM.YY </w:instrText>
    </w:r>
    <w:r>
      <w:fldChar w:fldCharType="separate"/>
    </w:r>
    <w:r w:rsidR="00D814A8">
      <w:t>19.10.15</w:t>
    </w:r>
    <w:r>
      <w:fldChar w:fldCharType="end"/>
    </w:r>
    <w: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3B" w:rsidRDefault="004071FB">
    <w:pPr>
      <w:pStyle w:val="Footer"/>
    </w:pPr>
    <w:r>
      <w:fldChar w:fldCharType="begin"/>
    </w:r>
    <w:r>
      <w:instrText xml:space="preserve"> FILENAME \p  \* MERGEFORMAT </w:instrText>
    </w:r>
    <w:r>
      <w:fldChar w:fldCharType="separate"/>
    </w:r>
    <w:r w:rsidR="00D5553B">
      <w:t>P:\ESP\ITU-R\CONF-R\CMR15\000\025ADD20ADD03S.docx</w:t>
    </w:r>
    <w:r>
      <w:fldChar w:fldCharType="end"/>
    </w:r>
    <w:r w:rsidR="00D5553B">
      <w:t xml:space="preserve"> (386913)</w:t>
    </w:r>
    <w:r w:rsidR="00D5553B">
      <w:tab/>
    </w:r>
    <w:r w:rsidR="00D5553B">
      <w:fldChar w:fldCharType="begin"/>
    </w:r>
    <w:r w:rsidR="00D5553B">
      <w:instrText xml:space="preserve"> SAVEDATE \@ DD.MM.YY </w:instrText>
    </w:r>
    <w:r w:rsidR="00D5553B">
      <w:fldChar w:fldCharType="separate"/>
    </w:r>
    <w:r w:rsidR="00D814A8">
      <w:t>19.10.15</w:t>
    </w:r>
    <w:r w:rsidR="00D5553B">
      <w:fldChar w:fldCharType="end"/>
    </w:r>
    <w:r w:rsidR="00D5553B">
      <w:tab/>
    </w:r>
    <w:r w:rsidR="00D5553B">
      <w:fldChar w:fldCharType="begin"/>
    </w:r>
    <w:r w:rsidR="00D5553B">
      <w:instrText xml:space="preserve"> PRINTDATE \@ DD.MM.YY </w:instrText>
    </w:r>
    <w:r w:rsidR="00D5553B">
      <w:fldChar w:fldCharType="separate"/>
    </w:r>
    <w:r w:rsidR="00D5553B">
      <w:t>19.02.03</w:t>
    </w:r>
    <w:r w:rsidR="00D5553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071FB">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25(Add.20)(Add.3)-</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2A4B"/>
    <w:rsid w:val="0002785D"/>
    <w:rsid w:val="00087AE8"/>
    <w:rsid w:val="00087F08"/>
    <w:rsid w:val="000931ED"/>
    <w:rsid w:val="000A5B9A"/>
    <w:rsid w:val="000E5BF9"/>
    <w:rsid w:val="000F0E6D"/>
    <w:rsid w:val="00121170"/>
    <w:rsid w:val="00123CC5"/>
    <w:rsid w:val="0015142D"/>
    <w:rsid w:val="00155EC0"/>
    <w:rsid w:val="001616DC"/>
    <w:rsid w:val="00163962"/>
    <w:rsid w:val="00191A97"/>
    <w:rsid w:val="001A083F"/>
    <w:rsid w:val="001A206A"/>
    <w:rsid w:val="001C41FA"/>
    <w:rsid w:val="001E2B52"/>
    <w:rsid w:val="001E3F27"/>
    <w:rsid w:val="00236D2A"/>
    <w:rsid w:val="00255F12"/>
    <w:rsid w:val="00262C09"/>
    <w:rsid w:val="002A791F"/>
    <w:rsid w:val="002C1B26"/>
    <w:rsid w:val="002C5D6C"/>
    <w:rsid w:val="002E701F"/>
    <w:rsid w:val="003248A9"/>
    <w:rsid w:val="00324FFA"/>
    <w:rsid w:val="0032680B"/>
    <w:rsid w:val="00363A65"/>
    <w:rsid w:val="00380971"/>
    <w:rsid w:val="003B1E8C"/>
    <w:rsid w:val="003C2508"/>
    <w:rsid w:val="003D0AA3"/>
    <w:rsid w:val="004071FB"/>
    <w:rsid w:val="00440B3A"/>
    <w:rsid w:val="0045384C"/>
    <w:rsid w:val="00454553"/>
    <w:rsid w:val="004B124A"/>
    <w:rsid w:val="004D7224"/>
    <w:rsid w:val="005133B5"/>
    <w:rsid w:val="00532097"/>
    <w:rsid w:val="0058350F"/>
    <w:rsid w:val="00583C7E"/>
    <w:rsid w:val="005C51EA"/>
    <w:rsid w:val="005D46FB"/>
    <w:rsid w:val="005F2605"/>
    <w:rsid w:val="005F3B0E"/>
    <w:rsid w:val="005F559C"/>
    <w:rsid w:val="00662BA0"/>
    <w:rsid w:val="006845F7"/>
    <w:rsid w:val="00692AAE"/>
    <w:rsid w:val="006D6E67"/>
    <w:rsid w:val="006E1A13"/>
    <w:rsid w:val="00701C20"/>
    <w:rsid w:val="00702F3D"/>
    <w:rsid w:val="0070518E"/>
    <w:rsid w:val="007354E9"/>
    <w:rsid w:val="00765578"/>
    <w:rsid w:val="0077084A"/>
    <w:rsid w:val="007952C7"/>
    <w:rsid w:val="007C0B95"/>
    <w:rsid w:val="007C2317"/>
    <w:rsid w:val="007D330A"/>
    <w:rsid w:val="00866AE6"/>
    <w:rsid w:val="008750A8"/>
    <w:rsid w:val="008E5AF2"/>
    <w:rsid w:val="0090121B"/>
    <w:rsid w:val="009144C9"/>
    <w:rsid w:val="0094091F"/>
    <w:rsid w:val="00973754"/>
    <w:rsid w:val="00986E95"/>
    <w:rsid w:val="009C0BED"/>
    <w:rsid w:val="009E11EC"/>
    <w:rsid w:val="00A118DB"/>
    <w:rsid w:val="00A4450C"/>
    <w:rsid w:val="00A879ED"/>
    <w:rsid w:val="00AA5E6C"/>
    <w:rsid w:val="00AE5677"/>
    <w:rsid w:val="00AE658F"/>
    <w:rsid w:val="00AF2F78"/>
    <w:rsid w:val="00B239FA"/>
    <w:rsid w:val="00B52D55"/>
    <w:rsid w:val="00B8288C"/>
    <w:rsid w:val="00BA2581"/>
    <w:rsid w:val="00BE2E80"/>
    <w:rsid w:val="00BE5EDD"/>
    <w:rsid w:val="00BE6A1F"/>
    <w:rsid w:val="00C126C4"/>
    <w:rsid w:val="00C13FC2"/>
    <w:rsid w:val="00C63EB5"/>
    <w:rsid w:val="00CC01E0"/>
    <w:rsid w:val="00CD5FEE"/>
    <w:rsid w:val="00CE60D2"/>
    <w:rsid w:val="00CE7431"/>
    <w:rsid w:val="00D0288A"/>
    <w:rsid w:val="00D532F7"/>
    <w:rsid w:val="00D5553B"/>
    <w:rsid w:val="00D72A5D"/>
    <w:rsid w:val="00D814A8"/>
    <w:rsid w:val="00DC629B"/>
    <w:rsid w:val="00E05BFF"/>
    <w:rsid w:val="00E24E94"/>
    <w:rsid w:val="00E262F1"/>
    <w:rsid w:val="00E3176A"/>
    <w:rsid w:val="00E54754"/>
    <w:rsid w:val="00E56BD3"/>
    <w:rsid w:val="00E71D14"/>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22AF4A4-374F-4B9F-B602-5E0CC91B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R15-WRC15-C-0025!A20-A3!MSW-S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A9AED-C702-4BD2-AACE-C626AB2FFADE}">
  <ds:schemaRef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32a1a8c5-2265-4ebc-b7a0-2071e2c5c9bb"/>
    <ds:schemaRef ds:uri="996b2e75-67fd-4955-a3b0-5ab9934cb50b"/>
    <ds:schemaRef ds:uri="http://purl.org/dc/terms/"/>
  </ds:schemaRefs>
</ds:datastoreItem>
</file>

<file path=customXml/itemProps5.xml><?xml version="1.0" encoding="utf-8"?>
<ds:datastoreItem xmlns:ds="http://schemas.openxmlformats.org/officeDocument/2006/customXml" ds:itemID="{3506E0C8-9D41-4C40-B6AF-EF19B7CF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508</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R15-WRC15-C-0025!A20-A3!MSW-S</vt:lpstr>
    </vt:vector>
  </TitlesOfParts>
  <Manager>Secretaría General - Pool</Manager>
  <Company>Unión Internacional de Telecomunicaciones (UIT)</Company>
  <LinksUpToDate>false</LinksUpToDate>
  <CharactersWithSpaces>3612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R15-WRC15-C-0025!A20-A3!MSW-S</dc:title>
  <dc:subject>Conferencia Mundial de Radiocomunicaciones - 2015</dc:subject>
  <dc:creator>Documents Proposals Manager (DPM)</dc:creator>
  <cp:keywords>DPM_v5.2015.10.15_prod</cp:keywords>
  <dc:description/>
  <cp:lastModifiedBy>Spanish</cp:lastModifiedBy>
  <cp:revision>7</cp:revision>
  <cp:lastPrinted>2003-02-19T20:20:00Z</cp:lastPrinted>
  <dcterms:created xsi:type="dcterms:W3CDTF">2015-10-19T13:15:00Z</dcterms:created>
  <dcterms:modified xsi:type="dcterms:W3CDTF">2015-10-21T07:37:00Z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