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632" w:type="dxa"/>
        <w:tblLayout w:type="fixed"/>
        <w:tblLook w:val="0000" w:firstRow="0" w:lastRow="0" w:firstColumn="0" w:lastColumn="0" w:noHBand="0" w:noVBand="0"/>
      </w:tblPr>
      <w:tblGrid>
        <w:gridCol w:w="6804"/>
        <w:gridCol w:w="3828"/>
      </w:tblGrid>
      <w:tr w:rsidR="0090121B" w:rsidRPr="00A57E8A" w:rsidTr="00B840EE">
        <w:trPr>
          <w:cantSplit/>
        </w:trPr>
        <w:tc>
          <w:tcPr>
            <w:tcW w:w="6804" w:type="dxa"/>
          </w:tcPr>
          <w:p w:rsidR="0090121B" w:rsidRPr="00A57E8A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57E8A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A57E8A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A57E8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828" w:type="dxa"/>
          </w:tcPr>
          <w:p w:rsidR="0090121B" w:rsidRPr="00A57E8A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57E8A">
              <w:rPr>
                <w:noProof/>
                <w:lang w:val="en-US" w:eastAsia="zh-CN"/>
              </w:rPr>
              <w:drawing>
                <wp:inline distT="0" distB="0" distL="0" distR="0" wp14:anchorId="4CEB31D4" wp14:editId="75E36D9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A57E8A" w:rsidTr="00B840EE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A57E8A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A57E8A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90121B" w:rsidRPr="00A57E8A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A57E8A" w:rsidTr="00B840EE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A57E8A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90121B" w:rsidRPr="00A57E8A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A57E8A" w:rsidTr="00B840EE">
        <w:trPr>
          <w:cantSplit/>
        </w:trPr>
        <w:tc>
          <w:tcPr>
            <w:tcW w:w="6804" w:type="dxa"/>
            <w:shd w:val="clear" w:color="auto" w:fill="auto"/>
          </w:tcPr>
          <w:p w:rsidR="0090121B" w:rsidRPr="00A57E8A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57E8A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828" w:type="dxa"/>
            <w:shd w:val="clear" w:color="auto" w:fill="auto"/>
          </w:tcPr>
          <w:p w:rsidR="0090121B" w:rsidRPr="00A57E8A" w:rsidRDefault="00B840EE" w:rsidP="0045384C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Revisión 1</w:t>
            </w:r>
            <w:r w:rsidR="00AE658F" w:rsidRPr="00A57E8A">
              <w:rPr>
                <w:rFonts w:ascii="Verdana" w:eastAsia="SimSun" w:hAnsi="Verdana" w:cs="Traditional Arabic"/>
                <w:b/>
                <w:sz w:val="20"/>
              </w:rPr>
              <w:t xml:space="preserve"> al</w:t>
            </w:r>
            <w:r w:rsidR="00AE658F" w:rsidRPr="00A57E8A">
              <w:rPr>
                <w:rFonts w:ascii="Verdana" w:eastAsia="SimSun" w:hAnsi="Verdana" w:cs="Traditional Arabic"/>
                <w:b/>
                <w:sz w:val="20"/>
              </w:rPr>
              <w:br/>
              <w:t>Documento 25</w:t>
            </w:r>
            <w:r w:rsidRPr="00A57E8A">
              <w:rPr>
                <w:rFonts w:ascii="Verdana" w:eastAsia="SimSun" w:hAnsi="Verdana" w:cs="Traditional Arabic"/>
                <w:b/>
                <w:sz w:val="20"/>
              </w:rPr>
              <w:t>(Add.2)</w:t>
            </w:r>
            <w:r w:rsidR="00AE658F" w:rsidRPr="00A57E8A">
              <w:rPr>
                <w:rFonts w:ascii="Verdana" w:eastAsia="SimSun" w:hAnsi="Verdana" w:cs="Traditional Arabic"/>
                <w:b/>
                <w:sz w:val="20"/>
              </w:rPr>
              <w:t>(Add.2)</w:t>
            </w:r>
            <w:r w:rsidR="0090121B" w:rsidRPr="00A57E8A">
              <w:rPr>
                <w:rFonts w:ascii="Verdana" w:hAnsi="Verdana"/>
                <w:b/>
                <w:sz w:val="20"/>
              </w:rPr>
              <w:t>-</w:t>
            </w:r>
            <w:r w:rsidR="00AE658F" w:rsidRPr="00A57E8A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A57E8A" w:rsidTr="00B840EE">
        <w:trPr>
          <w:cantSplit/>
        </w:trPr>
        <w:tc>
          <w:tcPr>
            <w:tcW w:w="6804" w:type="dxa"/>
            <w:shd w:val="clear" w:color="auto" w:fill="auto"/>
          </w:tcPr>
          <w:p w:rsidR="000A5B9A" w:rsidRPr="00A57E8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0A5B9A" w:rsidRPr="00A57E8A" w:rsidRDefault="00B840EE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9 de octu</w:t>
            </w:r>
            <w:r w:rsidR="000A5B9A" w:rsidRPr="00A57E8A">
              <w:rPr>
                <w:rFonts w:ascii="Verdana" w:hAnsi="Verdana"/>
                <w:b/>
                <w:sz w:val="20"/>
              </w:rPr>
              <w:t>bre de 2015</w:t>
            </w:r>
          </w:p>
        </w:tc>
      </w:tr>
      <w:tr w:rsidR="000A5B9A" w:rsidRPr="00A57E8A" w:rsidTr="00B840EE">
        <w:trPr>
          <w:cantSplit/>
        </w:trPr>
        <w:tc>
          <w:tcPr>
            <w:tcW w:w="6804" w:type="dxa"/>
          </w:tcPr>
          <w:p w:rsidR="000A5B9A" w:rsidRPr="00A57E8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828" w:type="dxa"/>
          </w:tcPr>
          <w:p w:rsidR="000A5B9A" w:rsidRPr="00A57E8A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57E8A">
              <w:rPr>
                <w:rFonts w:ascii="Verdana" w:hAnsi="Verdana"/>
                <w:b/>
                <w:sz w:val="20"/>
              </w:rPr>
              <w:t>Original: árabe</w:t>
            </w:r>
          </w:p>
        </w:tc>
      </w:tr>
      <w:tr w:rsidR="000A5B9A" w:rsidRPr="00A57E8A" w:rsidTr="00B840EE">
        <w:trPr>
          <w:cantSplit/>
        </w:trPr>
        <w:tc>
          <w:tcPr>
            <w:tcW w:w="10632" w:type="dxa"/>
            <w:gridSpan w:val="2"/>
          </w:tcPr>
          <w:p w:rsidR="000A5B9A" w:rsidRPr="00A57E8A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A57E8A" w:rsidTr="00B840EE">
        <w:trPr>
          <w:cantSplit/>
        </w:trPr>
        <w:tc>
          <w:tcPr>
            <w:tcW w:w="10632" w:type="dxa"/>
            <w:gridSpan w:val="2"/>
          </w:tcPr>
          <w:p w:rsidR="000A5B9A" w:rsidRPr="00A57E8A" w:rsidRDefault="000A5B9A" w:rsidP="000A5B9A">
            <w:pPr>
              <w:pStyle w:val="Source"/>
            </w:pPr>
            <w:bookmarkStart w:id="2" w:name="dsource" w:colFirst="0" w:colLast="0"/>
            <w:r w:rsidRPr="00A57E8A">
              <w:t>Propuestas Comunes de los Estados Árabes</w:t>
            </w:r>
          </w:p>
        </w:tc>
      </w:tr>
      <w:tr w:rsidR="000A5B9A" w:rsidRPr="00A57E8A" w:rsidTr="00B840EE">
        <w:trPr>
          <w:cantSplit/>
        </w:trPr>
        <w:tc>
          <w:tcPr>
            <w:tcW w:w="10632" w:type="dxa"/>
            <w:gridSpan w:val="2"/>
          </w:tcPr>
          <w:p w:rsidR="000A5B9A" w:rsidRPr="00A57E8A" w:rsidRDefault="00172483" w:rsidP="000A5B9A">
            <w:pPr>
              <w:pStyle w:val="Title1"/>
            </w:pPr>
            <w:bookmarkStart w:id="3" w:name="dtitle1" w:colFirst="0" w:colLast="0"/>
            <w:bookmarkEnd w:id="2"/>
            <w:r w:rsidRPr="00A57E8A">
              <w:t>PROPUESTAS PARA LOS TRABAJOS DE LA CONFERENCIA</w:t>
            </w:r>
          </w:p>
        </w:tc>
      </w:tr>
      <w:tr w:rsidR="000A5B9A" w:rsidRPr="00A57E8A" w:rsidTr="00B840EE">
        <w:trPr>
          <w:cantSplit/>
        </w:trPr>
        <w:tc>
          <w:tcPr>
            <w:tcW w:w="10632" w:type="dxa"/>
            <w:gridSpan w:val="2"/>
          </w:tcPr>
          <w:p w:rsidR="000A5B9A" w:rsidRPr="00A57E8A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A57E8A" w:rsidTr="00B840EE">
        <w:trPr>
          <w:cantSplit/>
        </w:trPr>
        <w:tc>
          <w:tcPr>
            <w:tcW w:w="10632" w:type="dxa"/>
            <w:gridSpan w:val="2"/>
          </w:tcPr>
          <w:p w:rsidR="000A5B9A" w:rsidRPr="00A57E8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57E8A">
              <w:t>Punto 1.2 del orden del día</w:t>
            </w:r>
          </w:p>
        </w:tc>
      </w:tr>
    </w:tbl>
    <w:bookmarkEnd w:id="5"/>
    <w:p w:rsidR="001C0E40" w:rsidRDefault="00B0776E" w:rsidP="00BA42DD">
      <w:r w:rsidRPr="00A57E8A">
        <w:t>1.2</w:t>
      </w:r>
      <w:r w:rsidRPr="00A57E8A">
        <w:tab/>
        <w:t>examinar los resultados de los estudios realizados por el UIT-R de conformidad con la Resolución </w:t>
      </w:r>
      <w:r w:rsidRPr="00A57E8A">
        <w:rPr>
          <w:b/>
          <w:bCs/>
        </w:rPr>
        <w:t>232 (CMR-12)</w:t>
      </w:r>
      <w:r w:rsidRPr="00A57E8A">
        <w:t xml:space="preserve"> sobre la utilización de la banda de frecuencias 694-790 MHz por los servicios móviles, excepto móvil aeronáutico, en la Región 1 y adoptar las medidas correspondientes;</w:t>
      </w:r>
    </w:p>
    <w:p w:rsidR="003F56FD" w:rsidRPr="003F56FD" w:rsidRDefault="003F56FD" w:rsidP="003F56FD">
      <w:pPr>
        <w:pStyle w:val="Title4"/>
        <w:rPr>
          <w:b w:val="0"/>
          <w:bCs/>
        </w:rPr>
      </w:pPr>
      <w:r w:rsidRPr="003F56FD">
        <w:rPr>
          <w:b w:val="0"/>
          <w:bCs/>
        </w:rPr>
        <w:t>Tema B</w:t>
      </w:r>
    </w:p>
    <w:p w:rsidR="00B60600" w:rsidRPr="00A57E8A" w:rsidRDefault="001254EB" w:rsidP="009F3D6B">
      <w:pPr>
        <w:pStyle w:val="Headingb"/>
      </w:pPr>
      <w:r w:rsidRPr="00A57E8A">
        <w:t>Introducción</w:t>
      </w:r>
    </w:p>
    <w:p w:rsidR="00B60600" w:rsidRPr="00A57E8A" w:rsidRDefault="00A57E8A" w:rsidP="00290479">
      <w:r w:rsidRPr="00A57E8A">
        <w:t>En este punto</w:t>
      </w:r>
      <w:r>
        <w:t xml:space="preserve"> del orden del día se trata de estudiar los requisitos del servicio móvil y del servicio de radiodifusión</w:t>
      </w:r>
      <w:r w:rsidRPr="00A57E8A">
        <w:t xml:space="preserve"> </w:t>
      </w:r>
      <w:r>
        <w:t xml:space="preserve">en el espectro de radiofrecuencias por debajo de </w:t>
      </w:r>
      <w:r w:rsidR="00B60600" w:rsidRPr="00A57E8A">
        <w:t>790 MHz</w:t>
      </w:r>
      <w:r>
        <w:t xml:space="preserve">, y estudiar la disposición de canales para el servicio móvil apropiado en esta banda, teniendo debidamente en cuenta la compatibilidad con otros servicios primarios a los que están atribuidas </w:t>
      </w:r>
      <w:r w:rsidR="001E3F4B">
        <w:t>esta banda y bandas adyacentes.</w:t>
      </w:r>
    </w:p>
    <w:p w:rsidR="00B60600" w:rsidRPr="00A57E8A" w:rsidRDefault="001254EB" w:rsidP="009F3D6B">
      <w:pPr>
        <w:pStyle w:val="Headingb"/>
      </w:pPr>
      <w:r w:rsidRPr="00A57E8A">
        <w:t>Propuestas</w:t>
      </w:r>
    </w:p>
    <w:p w:rsidR="00B60600" w:rsidRPr="00A57E8A" w:rsidRDefault="00A57E8A" w:rsidP="00702A41">
      <w:r>
        <w:t xml:space="preserve">Atendiendo a los resultados de los estudios del UIT-R sobre el Tema B, las </w:t>
      </w:r>
      <w:r w:rsidR="00702A41">
        <w:t>A</w:t>
      </w:r>
      <w:r>
        <w:t>dministraciones de los Estados Árabes proponen lo siguiente</w:t>
      </w:r>
      <w:r w:rsidR="00B60600" w:rsidRPr="00A57E8A">
        <w:t>:</w:t>
      </w:r>
    </w:p>
    <w:p w:rsidR="00B60600" w:rsidRPr="00A57E8A" w:rsidRDefault="00B60600" w:rsidP="001E3F4B">
      <w:pPr>
        <w:pStyle w:val="enumlev1"/>
      </w:pPr>
      <w:r w:rsidRPr="00A57E8A">
        <w:t>−</w:t>
      </w:r>
      <w:r w:rsidRPr="00A57E8A">
        <w:tab/>
      </w:r>
      <w:r w:rsidR="00A57E8A">
        <w:t>No introducir cambios en el Reglamento de Radiocomunicaciones, dado que el Acuerdo</w:t>
      </w:r>
      <w:r w:rsidR="001E3F4B">
        <w:t> </w:t>
      </w:r>
      <w:r w:rsidR="00A57E8A">
        <w:t xml:space="preserve">GE06 contiene las disposiciones necesarias para proteger el servicio de radiodifusión en los países vecinos. </w:t>
      </w:r>
    </w:p>
    <w:p w:rsidR="00290479" w:rsidRDefault="00B60600" w:rsidP="001E3F4B">
      <w:pPr>
        <w:pStyle w:val="enumlev1"/>
      </w:pPr>
      <w:r w:rsidRPr="00A57E8A">
        <w:t>−</w:t>
      </w:r>
      <w:r w:rsidRPr="00A57E8A">
        <w:tab/>
      </w:r>
      <w:r w:rsidR="00B15D4B" w:rsidRPr="00A57E8A">
        <w:t>Las administraciones podrían adoptar medidas encaminadas a formular un conjunto de condiciones técnicas aplicables a los UE de IMT, que protejan el SR por debajo de 694</w:t>
      </w:r>
      <w:r w:rsidR="001E3F4B">
        <w:t> </w:t>
      </w:r>
      <w:r w:rsidR="00B15D4B" w:rsidRPr="00A57E8A">
        <w:t>MHz a escala local, nacional o regional</w:t>
      </w:r>
      <w:r w:rsidRPr="00A57E8A">
        <w:t>.</w:t>
      </w:r>
    </w:p>
    <w:p w:rsidR="00B050ED" w:rsidRDefault="00B050ED" w:rsidP="001E3F4B">
      <w:pPr>
        <w:rPr>
          <w:rFonts w:hAnsi="Times New Roman Bold"/>
        </w:rPr>
      </w:pPr>
      <w:r>
        <w:br w:type="page"/>
      </w:r>
    </w:p>
    <w:p w:rsidR="0031716E" w:rsidRPr="00A57E8A" w:rsidRDefault="00B0776E">
      <w:pPr>
        <w:pStyle w:val="Proposal"/>
      </w:pPr>
      <w:r w:rsidRPr="00A57E8A">
        <w:rPr>
          <w:u w:val="single"/>
        </w:rPr>
        <w:lastRenderedPageBreak/>
        <w:t>NOC</w:t>
      </w:r>
      <w:r w:rsidRPr="00A57E8A">
        <w:tab/>
        <w:t>ARB/25A2A2/1</w:t>
      </w:r>
    </w:p>
    <w:p w:rsidR="007F5FE8" w:rsidRPr="001E3F4B" w:rsidRDefault="001E3F4B" w:rsidP="001E3F4B">
      <w:pPr>
        <w:pStyle w:val="Volumetitle"/>
        <w:rPr>
          <w:b/>
          <w:bCs/>
        </w:rPr>
      </w:pPr>
      <w:r w:rsidRPr="001E3F4B">
        <w:rPr>
          <w:b/>
          <w:bCs/>
          <w:caps w:val="0"/>
        </w:rPr>
        <w:t>Reglamento de Radiocomunicaciones</w:t>
      </w:r>
    </w:p>
    <w:p w:rsidR="0031716E" w:rsidRPr="00A57E8A" w:rsidRDefault="00B0776E" w:rsidP="00B0776E">
      <w:pPr>
        <w:pStyle w:val="Reasons"/>
        <w:rPr>
          <w:rStyle w:val="hps"/>
          <w:rFonts w:eastAsia="MS Mincho"/>
        </w:rPr>
      </w:pPr>
      <w:r w:rsidRPr="00A57E8A">
        <w:rPr>
          <w:b/>
          <w:bCs/>
        </w:rPr>
        <w:t>Motivos:</w:t>
      </w:r>
      <w:r w:rsidRPr="00A57E8A">
        <w:tab/>
      </w:r>
      <w:r w:rsidRPr="005F3333">
        <w:rPr>
          <w:rFonts w:eastAsia="MS Mincho"/>
        </w:rPr>
        <w:t>La</w:t>
      </w:r>
      <w:r w:rsidRPr="005F3333">
        <w:t xml:space="preserve"> </w:t>
      </w:r>
      <w:r w:rsidRPr="005F3333">
        <w:rPr>
          <w:rFonts w:eastAsia="MS Mincho"/>
        </w:rPr>
        <w:t>protección del SR por debajo de</w:t>
      </w:r>
      <w:r w:rsidRPr="005F3333">
        <w:t xml:space="preserve"> </w:t>
      </w:r>
      <w:r w:rsidRPr="005F3333">
        <w:rPr>
          <w:rFonts w:eastAsia="MS Mincho"/>
        </w:rPr>
        <w:t>694</w:t>
      </w:r>
      <w:r w:rsidRPr="005F3333">
        <w:t xml:space="preserve"> </w:t>
      </w:r>
      <w:r w:rsidRPr="005F3333">
        <w:rPr>
          <w:rFonts w:eastAsia="MS Mincho"/>
        </w:rPr>
        <w:t>MHz</w:t>
      </w:r>
      <w:r w:rsidRPr="005F3333">
        <w:t xml:space="preserve"> contra el SM puede garantizarse mediante </w:t>
      </w:r>
      <w:r w:rsidRPr="005F3333">
        <w:rPr>
          <w:rFonts w:eastAsia="MS Mincho"/>
        </w:rPr>
        <w:t>la aplicación de</w:t>
      </w:r>
      <w:r w:rsidRPr="005F3333">
        <w:t xml:space="preserve"> </w:t>
      </w:r>
      <w:r w:rsidRPr="005F3333">
        <w:rPr>
          <w:rFonts w:eastAsia="MS Mincho"/>
        </w:rPr>
        <w:t>las disposiciones</w:t>
      </w:r>
      <w:r w:rsidRPr="005F3333">
        <w:t xml:space="preserve"> </w:t>
      </w:r>
      <w:r w:rsidRPr="005F3333">
        <w:rPr>
          <w:rFonts w:eastAsia="MS Mincho"/>
        </w:rPr>
        <w:t>técnicas y reglamentarias</w:t>
      </w:r>
      <w:r w:rsidRPr="005F3333">
        <w:t xml:space="preserve"> </w:t>
      </w:r>
      <w:r w:rsidRPr="005F3333">
        <w:rPr>
          <w:rFonts w:eastAsia="MS Mincho"/>
        </w:rPr>
        <w:t>del Acuerdo</w:t>
      </w:r>
      <w:r w:rsidRPr="005F3333">
        <w:t xml:space="preserve"> </w:t>
      </w:r>
      <w:r w:rsidRPr="005F3333">
        <w:rPr>
          <w:rFonts w:eastAsia="MS Mincho"/>
        </w:rPr>
        <w:t>GE06</w:t>
      </w:r>
      <w:r w:rsidRPr="005F3333">
        <w:t>. Distintos</w:t>
      </w:r>
      <w:r w:rsidRPr="005F3333">
        <w:rPr>
          <w:rFonts w:eastAsia="MS Mincho"/>
        </w:rPr>
        <w:t xml:space="preserve"> estudios de caso</w:t>
      </w:r>
      <w:r w:rsidRPr="005F3333">
        <w:t xml:space="preserve"> </w:t>
      </w:r>
      <w:r w:rsidRPr="005F3333">
        <w:rPr>
          <w:rFonts w:eastAsia="MS Mincho"/>
        </w:rPr>
        <w:t>de interferencia</w:t>
      </w:r>
      <w:r w:rsidRPr="005F3333">
        <w:t xml:space="preserve"> </w:t>
      </w:r>
      <w:r w:rsidRPr="005F3333">
        <w:rPr>
          <w:rFonts w:eastAsia="MS Mincho"/>
        </w:rPr>
        <w:t>han demostrado que</w:t>
      </w:r>
      <w:r w:rsidRPr="005F3333">
        <w:t xml:space="preserve"> </w:t>
      </w:r>
      <w:r w:rsidRPr="005F3333">
        <w:rPr>
          <w:rFonts w:eastAsia="MS Mincho"/>
        </w:rPr>
        <w:t>el umbral de</w:t>
      </w:r>
      <w:r w:rsidRPr="005F3333">
        <w:t xml:space="preserve"> </w:t>
      </w:r>
      <w:r w:rsidRPr="005F3333">
        <w:rPr>
          <w:rFonts w:eastAsia="MS Mincho"/>
        </w:rPr>
        <w:t>coordinación</w:t>
      </w:r>
      <w:r w:rsidRPr="005F3333">
        <w:t xml:space="preserve"> </w:t>
      </w:r>
      <w:r w:rsidRPr="005F3333">
        <w:rPr>
          <w:rFonts w:eastAsia="MS Mincho"/>
        </w:rPr>
        <w:t>de una sola fuente</w:t>
      </w:r>
      <w:r w:rsidRPr="005F3333">
        <w:t xml:space="preserve"> </w:t>
      </w:r>
      <w:r w:rsidRPr="005F3333">
        <w:rPr>
          <w:rFonts w:eastAsia="MS Mincho"/>
        </w:rPr>
        <w:t>(</w:t>
      </w:r>
      <w:r w:rsidRPr="005F3333">
        <w:t xml:space="preserve">es decir, el umbral del Acuerdo </w:t>
      </w:r>
      <w:r w:rsidRPr="005F3333">
        <w:rPr>
          <w:rFonts w:eastAsia="MS Mincho"/>
        </w:rPr>
        <w:t>GE06</w:t>
      </w:r>
      <w:r w:rsidRPr="005F3333">
        <w:t xml:space="preserve">) </w:t>
      </w:r>
      <w:r w:rsidRPr="005F3333">
        <w:rPr>
          <w:rFonts w:eastAsia="MS Mincho"/>
        </w:rPr>
        <w:t>es</w:t>
      </w:r>
      <w:r w:rsidRPr="005F3333">
        <w:t xml:space="preserve"> </w:t>
      </w:r>
      <w:r w:rsidRPr="005F3333">
        <w:rPr>
          <w:rFonts w:eastAsia="MS Mincho"/>
        </w:rPr>
        <w:t>suficiente para proteger el SR contra la interferencia</w:t>
      </w:r>
      <w:r w:rsidRPr="005F3333">
        <w:t xml:space="preserve"> </w:t>
      </w:r>
      <w:r w:rsidRPr="005F3333">
        <w:rPr>
          <w:rFonts w:eastAsia="MS Mincho"/>
        </w:rPr>
        <w:t>acumulada</w:t>
      </w:r>
      <w:r w:rsidRPr="005F3333">
        <w:t>. Podría elaborarse u</w:t>
      </w:r>
      <w:r w:rsidRPr="005F3333">
        <w:rPr>
          <w:rFonts w:eastAsia="MS Mincho"/>
        </w:rPr>
        <w:t>na nueva</w:t>
      </w:r>
      <w:r w:rsidRPr="005F3333">
        <w:t xml:space="preserve"> </w:t>
      </w:r>
      <w:r w:rsidRPr="005F3333">
        <w:rPr>
          <w:rFonts w:eastAsia="MS Mincho"/>
        </w:rPr>
        <w:t>recomendación, según corresponda,</w:t>
      </w:r>
      <w:r w:rsidRPr="005F3333">
        <w:t xml:space="preserve"> en la que se especifique el límite de OOBE de los UE de IMT por debajo de </w:t>
      </w:r>
      <w:r w:rsidRPr="005F3333">
        <w:rPr>
          <w:rFonts w:eastAsia="MS Mincho"/>
        </w:rPr>
        <w:t>694</w:t>
      </w:r>
      <w:r w:rsidRPr="005F3333">
        <w:t xml:space="preserve"> </w:t>
      </w:r>
      <w:r w:rsidRPr="005F3333">
        <w:rPr>
          <w:rFonts w:eastAsia="MS Mincho"/>
        </w:rPr>
        <w:t>MHz</w:t>
      </w:r>
      <w:r w:rsidRPr="005F3333">
        <w:t xml:space="preserve">. </w:t>
      </w:r>
      <w:r w:rsidRPr="005F3333">
        <w:rPr>
          <w:rFonts w:eastAsia="MS Mincho"/>
        </w:rPr>
        <w:t>En consecuencia</w:t>
      </w:r>
      <w:r w:rsidRPr="005F3333">
        <w:t>, la CMR-15 debería a</w:t>
      </w:r>
      <w:r w:rsidRPr="005F3333">
        <w:rPr>
          <w:rFonts w:eastAsia="MS Mincho"/>
        </w:rPr>
        <w:t>doptar este método.</w:t>
      </w:r>
    </w:p>
    <w:p w:rsidR="00B0776E" w:rsidRPr="00A57E8A" w:rsidRDefault="00B0776E" w:rsidP="0032202E">
      <w:pPr>
        <w:pStyle w:val="Reasons"/>
      </w:pPr>
    </w:p>
    <w:p w:rsidR="00F0115F" w:rsidRDefault="00B0776E">
      <w:pPr>
        <w:jc w:val="center"/>
      </w:pPr>
      <w:r w:rsidRPr="00A57E8A">
        <w:t>______________</w:t>
      </w:r>
    </w:p>
    <w:p w:rsidR="00B0776E" w:rsidRPr="00F0115F" w:rsidRDefault="00B0776E" w:rsidP="00F0115F">
      <w:pPr>
        <w:tabs>
          <w:tab w:val="clear" w:pos="1134"/>
          <w:tab w:val="clear" w:pos="1871"/>
          <w:tab w:val="clear" w:pos="2268"/>
          <w:tab w:val="left" w:pos="3588"/>
        </w:tabs>
      </w:pPr>
      <w:bookmarkStart w:id="6" w:name="_GoBack"/>
      <w:bookmarkEnd w:id="6"/>
    </w:p>
    <w:sectPr w:rsidR="00B0776E" w:rsidRPr="00F0115F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1E3F4B" w:rsidRDefault="0077084A">
    <w:pPr>
      <w:ind w:right="360"/>
    </w:pPr>
    <w:r>
      <w:fldChar w:fldCharType="begin"/>
    </w:r>
    <w:r w:rsidRPr="001E3F4B">
      <w:instrText xml:space="preserve"> FILENAME \p  \* MERGEFORMAT </w:instrText>
    </w:r>
    <w:r>
      <w:fldChar w:fldCharType="separate"/>
    </w:r>
    <w:r w:rsidR="001E3F4B">
      <w:rPr>
        <w:noProof/>
      </w:rPr>
      <w:t>P:\ESP\ITU-R\CONF-R\CMR15\000\025ADD02ADD02S.docx</w:t>
    </w:r>
    <w:r>
      <w:fldChar w:fldCharType="end"/>
    </w:r>
    <w:r w:rsidRPr="001E3F4B">
      <w:tab/>
    </w:r>
    <w:r>
      <w:fldChar w:fldCharType="begin"/>
    </w:r>
    <w:r>
      <w:instrText xml:space="preserve"> SAVEDATE \@ DD.MM.YY </w:instrText>
    </w:r>
    <w:r>
      <w:fldChar w:fldCharType="separate"/>
    </w:r>
    <w:r w:rsidR="00B840EE">
      <w:rPr>
        <w:noProof/>
      </w:rPr>
      <w:t>14.10.15</w:t>
    </w:r>
    <w:r>
      <w:fldChar w:fldCharType="end"/>
    </w:r>
    <w:r w:rsidRPr="001E3F4B">
      <w:tab/>
    </w:r>
    <w:r>
      <w:fldChar w:fldCharType="begin"/>
    </w:r>
    <w:r>
      <w:instrText xml:space="preserve"> PRINTDATE \@ DD.MM.YY </w:instrText>
    </w:r>
    <w:r>
      <w:fldChar w:fldCharType="separate"/>
    </w:r>
    <w:r w:rsidR="001E3F4B">
      <w:rPr>
        <w:noProof/>
      </w:rPr>
      <w:t>02.10.15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8AF" w:rsidRPr="001E3F4B" w:rsidRDefault="0044022C" w:rsidP="001E3F4B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1E3F4B">
      <w:t>P:\ESP\ITU-R\CONF-R\CMR15\000\025ADD02ADD02S.docx</w:t>
    </w:r>
    <w:r>
      <w:fldChar w:fldCharType="end"/>
    </w:r>
    <w:r w:rsidR="001E3F4B">
      <w:t xml:space="preserve"> (386850)</w:t>
    </w:r>
    <w:r w:rsidR="001E3F4B">
      <w:tab/>
    </w:r>
    <w:r w:rsidR="001E3F4B">
      <w:fldChar w:fldCharType="begin"/>
    </w:r>
    <w:r w:rsidR="001E3F4B">
      <w:instrText xml:space="preserve"> SAVEDATE \@ DD.MM.YY </w:instrText>
    </w:r>
    <w:r w:rsidR="001E3F4B">
      <w:fldChar w:fldCharType="separate"/>
    </w:r>
    <w:r w:rsidR="00B840EE">
      <w:t>14.10.15</w:t>
    </w:r>
    <w:r w:rsidR="001E3F4B">
      <w:fldChar w:fldCharType="end"/>
    </w:r>
    <w:r w:rsidR="001E3F4B">
      <w:tab/>
    </w:r>
    <w:r w:rsidR="001E3F4B">
      <w:fldChar w:fldCharType="begin"/>
    </w:r>
    <w:r w:rsidR="001E3F4B">
      <w:instrText xml:space="preserve"> PRINTDATE \@ DD.MM.YY </w:instrText>
    </w:r>
    <w:r w:rsidR="001E3F4B">
      <w:fldChar w:fldCharType="separate"/>
    </w:r>
    <w:r w:rsidR="001E3F4B">
      <w:t>02.10.15</w:t>
    </w:r>
    <w:r w:rsidR="001E3F4B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F0115F" w:rsidRDefault="00F0115F" w:rsidP="001E3F4B">
    <w:pPr>
      <w:pStyle w:val="Footer"/>
      <w:rPr>
        <w:lang w:val="en-GB"/>
      </w:rPr>
    </w:pPr>
    <w:r>
      <w:fldChar w:fldCharType="begin"/>
    </w:r>
    <w:r w:rsidRPr="00F0115F">
      <w:rPr>
        <w:lang w:val="en-GB"/>
      </w:rPr>
      <w:instrText xml:space="preserve"> FILENAME \p  \* MERGEFORMAT </w:instrText>
    </w:r>
    <w:r>
      <w:fldChar w:fldCharType="separate"/>
    </w:r>
    <w:r w:rsidR="006F392B" w:rsidRPr="00F0115F">
      <w:rPr>
        <w:lang w:val="en-GB"/>
      </w:rPr>
      <w:t>P:\ESP\ITU-R\CONF-R\CMR15\000\025ADD02ADD02REV01S.docx</w:t>
    </w:r>
    <w:r>
      <w:fldChar w:fldCharType="end"/>
    </w:r>
    <w:r w:rsidR="006F392B" w:rsidRPr="00F0115F">
      <w:rPr>
        <w:lang w:val="en-GB"/>
      </w:rPr>
      <w:t xml:space="preserve"> (387979</w:t>
    </w:r>
    <w:r w:rsidR="001E3F4B" w:rsidRPr="00F0115F">
      <w:rPr>
        <w:lang w:val="en-GB"/>
      </w:rPr>
      <w:t>)</w:t>
    </w:r>
    <w:r w:rsidR="001E3F4B" w:rsidRPr="00F0115F">
      <w:rPr>
        <w:lang w:val="en-GB"/>
      </w:rPr>
      <w:tab/>
    </w:r>
    <w:r w:rsidR="001E3F4B">
      <w:fldChar w:fldCharType="begin"/>
    </w:r>
    <w:r w:rsidR="001E3F4B">
      <w:instrText xml:space="preserve"> SAVEDATE \@ DD.MM.YY </w:instrText>
    </w:r>
    <w:r w:rsidR="001E3F4B">
      <w:fldChar w:fldCharType="separate"/>
    </w:r>
    <w:r w:rsidR="00B840EE">
      <w:t>14.10.15</w:t>
    </w:r>
    <w:r w:rsidR="001E3F4B">
      <w:fldChar w:fldCharType="end"/>
    </w:r>
    <w:r w:rsidR="001E3F4B" w:rsidRPr="00F0115F">
      <w:rPr>
        <w:lang w:val="en-GB"/>
      </w:rPr>
      <w:tab/>
    </w:r>
    <w:r w:rsidR="001E3F4B">
      <w:fldChar w:fldCharType="begin"/>
    </w:r>
    <w:r w:rsidR="001E3F4B">
      <w:instrText xml:space="preserve"> PRINTDATE \@ DD.MM.YY </w:instrText>
    </w:r>
    <w:r w:rsidR="001E3F4B">
      <w:fldChar w:fldCharType="separate"/>
    </w:r>
    <w:r w:rsidR="001E3F4B">
      <w:t>02.10.15</w:t>
    </w:r>
    <w:r w:rsidR="001E3F4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22C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25(Add.2)(Add.2)</w:t>
    </w:r>
    <w:r w:rsidR="006F392B">
      <w:t>(Rev.1)</w:t>
    </w:r>
    <w:r w:rsidR="00702F3D">
      <w:t>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340F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2640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4CB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B0F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368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3C7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A80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38ED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A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388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254EB"/>
    <w:rsid w:val="0015142D"/>
    <w:rsid w:val="001616DC"/>
    <w:rsid w:val="00163962"/>
    <w:rsid w:val="00172483"/>
    <w:rsid w:val="00191A97"/>
    <w:rsid w:val="001A083F"/>
    <w:rsid w:val="001C41FA"/>
    <w:rsid w:val="001E2B52"/>
    <w:rsid w:val="001E3F27"/>
    <w:rsid w:val="001E3F4B"/>
    <w:rsid w:val="00236D2A"/>
    <w:rsid w:val="00255F12"/>
    <w:rsid w:val="00262C09"/>
    <w:rsid w:val="00290479"/>
    <w:rsid w:val="002A791F"/>
    <w:rsid w:val="002B7043"/>
    <w:rsid w:val="002C1B26"/>
    <w:rsid w:val="002C5D6C"/>
    <w:rsid w:val="002E701F"/>
    <w:rsid w:val="0031716E"/>
    <w:rsid w:val="003248A9"/>
    <w:rsid w:val="00324FFA"/>
    <w:rsid w:val="0032680B"/>
    <w:rsid w:val="00363A65"/>
    <w:rsid w:val="003A635F"/>
    <w:rsid w:val="003B1E8C"/>
    <w:rsid w:val="003C2508"/>
    <w:rsid w:val="003D0AA3"/>
    <w:rsid w:val="003D17F3"/>
    <w:rsid w:val="003F56FD"/>
    <w:rsid w:val="0044022C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333"/>
    <w:rsid w:val="005F3B0E"/>
    <w:rsid w:val="005F559C"/>
    <w:rsid w:val="00662BA0"/>
    <w:rsid w:val="00692AAE"/>
    <w:rsid w:val="006D6E67"/>
    <w:rsid w:val="006E1A13"/>
    <w:rsid w:val="006F392B"/>
    <w:rsid w:val="00701C20"/>
    <w:rsid w:val="00702A41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7F5FE8"/>
    <w:rsid w:val="008478B9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9F3D6B"/>
    <w:rsid w:val="00A118DB"/>
    <w:rsid w:val="00A4450C"/>
    <w:rsid w:val="00A57E8A"/>
    <w:rsid w:val="00AA5E6C"/>
    <w:rsid w:val="00AE5677"/>
    <w:rsid w:val="00AE658F"/>
    <w:rsid w:val="00AF2F78"/>
    <w:rsid w:val="00B050ED"/>
    <w:rsid w:val="00B0776E"/>
    <w:rsid w:val="00B15D4B"/>
    <w:rsid w:val="00B239FA"/>
    <w:rsid w:val="00B52D55"/>
    <w:rsid w:val="00B60600"/>
    <w:rsid w:val="00B8288C"/>
    <w:rsid w:val="00B840EE"/>
    <w:rsid w:val="00BE2E80"/>
    <w:rsid w:val="00BE5EDD"/>
    <w:rsid w:val="00BE6A1F"/>
    <w:rsid w:val="00BF08AF"/>
    <w:rsid w:val="00C126C4"/>
    <w:rsid w:val="00C63EB5"/>
    <w:rsid w:val="00CC01E0"/>
    <w:rsid w:val="00CD5FEE"/>
    <w:rsid w:val="00CE60D2"/>
    <w:rsid w:val="00CE7431"/>
    <w:rsid w:val="00D0288A"/>
    <w:rsid w:val="00D67791"/>
    <w:rsid w:val="00D72A5D"/>
    <w:rsid w:val="00DC629B"/>
    <w:rsid w:val="00E05BFF"/>
    <w:rsid w:val="00E262F1"/>
    <w:rsid w:val="00E3176A"/>
    <w:rsid w:val="00E54754"/>
    <w:rsid w:val="00E56BD3"/>
    <w:rsid w:val="00E71D14"/>
    <w:rsid w:val="00E72F5D"/>
    <w:rsid w:val="00EC4DC3"/>
    <w:rsid w:val="00F0115F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C01D860-CD0E-41FA-835E-53776A89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ps">
    <w:name w:val="hps"/>
    <w:basedOn w:val="DefaultParagraphFont"/>
    <w:rsid w:val="00B0776E"/>
  </w:style>
  <w:style w:type="character" w:customStyle="1" w:styleId="CommentTextChar">
    <w:name w:val="Comment Text Char"/>
    <w:basedOn w:val="DefaultParagraphFont"/>
    <w:link w:val="CommentText"/>
    <w:semiHidden/>
    <w:rsid w:val="007F5FE8"/>
    <w:rPr>
      <w:rFonts w:ascii="Times New Roman" w:hAnsi="Times New Roman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29047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0479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R15-WRC15-C-0025!A2-A2!MSW-S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F3427-1B28-400A-90FA-FE0D359FACBE}">
  <ds:schemaRefs>
    <ds:schemaRef ds:uri="http://schemas.microsoft.com/office/infopath/2007/PartnerControls"/>
    <ds:schemaRef ds:uri="32a1a8c5-2265-4ebc-b7a0-2071e2c5c9bb"/>
    <ds:schemaRef ds:uri="http://schemas.microsoft.com/office/2006/documentManagement/types"/>
    <ds:schemaRef ds:uri="http://purl.org/dc/elements/1.1/"/>
    <ds:schemaRef ds:uri="996b2e75-67fd-4955-a3b0-5ab9934cb50b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32DC04-9BB7-4A40-AFE2-0BE42240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R15-WRC15-C-0025!A2-A2!MSW-S</vt:lpstr>
    </vt:vector>
  </TitlesOfParts>
  <Manager>Secretaría General - Pool</Manager>
  <Company>Unión Internacional de Telecomunicaciones (UIT)</Company>
  <LinksUpToDate>false</LinksUpToDate>
  <CharactersWithSpaces>2274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R15-WRC15-C-0025!A2-A2!MSW-S</dc:title>
  <dc:subject>Conferencia Mundial de Radiocomunicaciones - 2015</dc:subject>
  <dc:creator>Documents Proposals Manager (DPM)</dc:creator>
  <cp:keywords>DPM_v5.2015.9.16_prod</cp:keywords>
  <dc:description/>
  <cp:lastModifiedBy>Spanish</cp:lastModifiedBy>
  <cp:revision>10</cp:revision>
  <cp:lastPrinted>2015-10-02T07:50:00Z</cp:lastPrinted>
  <dcterms:created xsi:type="dcterms:W3CDTF">2015-10-14T09:11:00Z</dcterms:created>
  <dcterms:modified xsi:type="dcterms:W3CDTF">2015-10-14T09:24:00Z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