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663"/>
        <w:gridCol w:w="248"/>
        <w:gridCol w:w="3295"/>
        <w:gridCol w:w="142"/>
      </w:tblGrid>
      <w:tr w:rsidR="00BB1D82" w:rsidRPr="002A6F8F" w:rsidTr="007F1773">
        <w:trPr>
          <w:gridAfter w:val="1"/>
          <w:wAfter w:w="142"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95"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58B08AC2" wp14:editId="07C8173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7F1773">
        <w:trPr>
          <w:gridAfter w:val="1"/>
          <w:wAfter w:w="142"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95"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7F1773">
        <w:trPr>
          <w:gridAfter w:val="1"/>
          <w:wAfter w:w="142"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95"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7F1773">
        <w:trPr>
          <w:cantSplit/>
        </w:trPr>
        <w:tc>
          <w:tcPr>
            <w:tcW w:w="6663"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5" w:type="dxa"/>
            <w:gridSpan w:val="3"/>
            <w:shd w:val="clear" w:color="auto" w:fill="auto"/>
          </w:tcPr>
          <w:p w:rsidR="00BB1D82" w:rsidRPr="009E0AFA" w:rsidRDefault="007F1773" w:rsidP="007F1773">
            <w:pPr>
              <w:spacing w:before="0"/>
              <w:rPr>
                <w:rFonts w:ascii="Verdana" w:hAnsi="Verdana"/>
                <w:sz w:val="20"/>
                <w:lang w:val="fr-CH"/>
              </w:rPr>
            </w:pPr>
            <w:r>
              <w:rPr>
                <w:rFonts w:ascii="Verdana" w:eastAsia="SimSun" w:hAnsi="Verdana" w:cs="Traditional Arabic"/>
                <w:b/>
                <w:sz w:val="20"/>
                <w:lang w:val="fr-CH"/>
              </w:rPr>
              <w:t>Révision 1</w:t>
            </w:r>
            <w:r w:rsidR="006D4724" w:rsidRPr="009E0AFA">
              <w:rPr>
                <w:rFonts w:ascii="Verdana" w:eastAsia="SimSun" w:hAnsi="Verdana" w:cs="Traditional Arabic"/>
                <w:b/>
                <w:sz w:val="20"/>
                <w:lang w:val="fr-CH"/>
              </w:rPr>
              <w:t xml:space="preserve"> </w:t>
            </w:r>
            <w:r>
              <w:rPr>
                <w:rFonts w:ascii="Verdana" w:eastAsia="SimSun" w:hAnsi="Verdana" w:cs="Traditional Arabic"/>
                <w:b/>
                <w:sz w:val="20"/>
                <w:lang w:val="fr-CH"/>
              </w:rPr>
              <w:t>d</w:t>
            </w:r>
            <w:r w:rsidR="006D4724" w:rsidRPr="009E0AFA">
              <w:rPr>
                <w:rFonts w:ascii="Verdana" w:eastAsia="SimSun" w:hAnsi="Verdana" w:cs="Traditional Arabic"/>
                <w:b/>
                <w:sz w:val="20"/>
                <w:lang w:val="fr-CH"/>
              </w:rPr>
              <w:t>u</w:t>
            </w:r>
            <w:r w:rsidR="006D4724" w:rsidRPr="009E0AFA">
              <w:rPr>
                <w:rFonts w:ascii="Verdana" w:eastAsia="SimSun" w:hAnsi="Verdana" w:cs="Traditional Arabic"/>
                <w:b/>
                <w:sz w:val="20"/>
                <w:lang w:val="fr-CH"/>
              </w:rPr>
              <w:br/>
              <w:t>Document 25(Add.2)</w:t>
            </w:r>
            <w:r>
              <w:rPr>
                <w:rFonts w:ascii="Verdana" w:eastAsia="SimSun" w:hAnsi="Verdana" w:cs="Traditional Arabic"/>
                <w:b/>
                <w:sz w:val="20"/>
                <w:lang w:val="fr-CH"/>
              </w:rPr>
              <w:t>(</w:t>
            </w:r>
            <w:r w:rsidRPr="009E0AFA">
              <w:rPr>
                <w:rFonts w:ascii="Verdana" w:eastAsia="SimSun" w:hAnsi="Verdana" w:cs="Traditional Arabic"/>
                <w:b/>
                <w:sz w:val="20"/>
                <w:lang w:val="fr-CH"/>
              </w:rPr>
              <w:t>Add.2)</w:t>
            </w:r>
            <w:r w:rsidR="00BB1D82" w:rsidRPr="009E0AFA">
              <w:rPr>
                <w:rFonts w:ascii="Verdana" w:hAnsi="Verdana"/>
                <w:b/>
                <w:sz w:val="20"/>
                <w:lang w:val="fr-CH"/>
              </w:rPr>
              <w:t>-</w:t>
            </w:r>
            <w:r w:rsidR="006D4724" w:rsidRPr="009E0AFA">
              <w:rPr>
                <w:rFonts w:ascii="Verdana" w:hAnsi="Verdana"/>
                <w:b/>
                <w:sz w:val="20"/>
                <w:lang w:val="fr-CH"/>
              </w:rPr>
              <w:t>F</w:t>
            </w:r>
          </w:p>
        </w:tc>
      </w:tr>
      <w:bookmarkEnd w:id="1"/>
      <w:tr w:rsidR="00690C7B" w:rsidRPr="002A6F8F" w:rsidTr="007F1773">
        <w:trPr>
          <w:cantSplit/>
        </w:trPr>
        <w:tc>
          <w:tcPr>
            <w:tcW w:w="6663" w:type="dxa"/>
            <w:shd w:val="clear" w:color="auto" w:fill="auto"/>
          </w:tcPr>
          <w:p w:rsidR="00690C7B" w:rsidRPr="009E0AFA" w:rsidRDefault="00690C7B" w:rsidP="00BA5BD0">
            <w:pPr>
              <w:spacing w:before="0"/>
              <w:rPr>
                <w:rFonts w:ascii="Verdana" w:hAnsi="Verdana"/>
                <w:b/>
                <w:sz w:val="20"/>
                <w:lang w:val="fr-CH"/>
              </w:rPr>
            </w:pPr>
          </w:p>
        </w:tc>
        <w:tc>
          <w:tcPr>
            <w:tcW w:w="3685" w:type="dxa"/>
            <w:gridSpan w:val="3"/>
            <w:shd w:val="clear" w:color="auto" w:fill="auto"/>
          </w:tcPr>
          <w:p w:rsidR="00690C7B" w:rsidRPr="002A6F8F" w:rsidRDefault="007F1773" w:rsidP="007F1773">
            <w:pPr>
              <w:spacing w:before="0"/>
              <w:rPr>
                <w:rFonts w:ascii="Verdana" w:hAnsi="Verdana"/>
                <w:b/>
                <w:sz w:val="20"/>
                <w:lang w:val="en-US"/>
              </w:rPr>
            </w:pPr>
            <w:r>
              <w:rPr>
                <w:rFonts w:ascii="Verdana" w:hAnsi="Verdana"/>
                <w:b/>
                <w:sz w:val="20"/>
                <w:lang w:val="en-US"/>
              </w:rPr>
              <w:t>9</w:t>
            </w:r>
            <w:r w:rsidR="00690C7B" w:rsidRPr="002A6F8F">
              <w:rPr>
                <w:rFonts w:ascii="Verdana" w:hAnsi="Verdana"/>
                <w:b/>
                <w:sz w:val="20"/>
                <w:lang w:val="en-US"/>
              </w:rPr>
              <w:t xml:space="preserve"> </w:t>
            </w:r>
            <w:proofErr w:type="spellStart"/>
            <w:r>
              <w:rPr>
                <w:rFonts w:ascii="Verdana" w:hAnsi="Verdana"/>
                <w:b/>
                <w:sz w:val="20"/>
                <w:lang w:val="en-US"/>
              </w:rPr>
              <w:t>octo</w:t>
            </w:r>
            <w:r w:rsidR="00690C7B" w:rsidRPr="002A6F8F">
              <w:rPr>
                <w:rFonts w:ascii="Verdana" w:hAnsi="Verdana"/>
                <w:b/>
                <w:sz w:val="20"/>
                <w:lang w:val="en-US"/>
              </w:rPr>
              <w:t>bre</w:t>
            </w:r>
            <w:proofErr w:type="spellEnd"/>
            <w:r w:rsidR="00690C7B" w:rsidRPr="002A6F8F">
              <w:rPr>
                <w:rFonts w:ascii="Verdana" w:hAnsi="Verdana"/>
                <w:b/>
                <w:sz w:val="20"/>
                <w:lang w:val="en-US"/>
              </w:rPr>
              <w:t xml:space="preserve"> 2015</w:t>
            </w:r>
          </w:p>
        </w:tc>
      </w:tr>
      <w:tr w:rsidR="00690C7B" w:rsidRPr="002A6F8F" w:rsidTr="007F1773">
        <w:trPr>
          <w:cantSplit/>
        </w:trPr>
        <w:tc>
          <w:tcPr>
            <w:tcW w:w="6663" w:type="dxa"/>
          </w:tcPr>
          <w:p w:rsidR="00690C7B" w:rsidRPr="002A6F8F" w:rsidRDefault="00690C7B" w:rsidP="00BA5BD0">
            <w:pPr>
              <w:spacing w:before="0" w:after="48"/>
              <w:rPr>
                <w:rFonts w:ascii="Verdana" w:hAnsi="Verdana"/>
                <w:b/>
                <w:smallCaps/>
                <w:sz w:val="20"/>
                <w:lang w:val="en-US"/>
              </w:rPr>
            </w:pPr>
          </w:p>
        </w:tc>
        <w:tc>
          <w:tcPr>
            <w:tcW w:w="3685"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arabe</w:t>
            </w:r>
            <w:proofErr w:type="spellEnd"/>
          </w:p>
        </w:tc>
      </w:tr>
      <w:tr w:rsidR="00690C7B" w:rsidRPr="002A6F8F" w:rsidTr="007F1773">
        <w:trPr>
          <w:gridAfter w:val="1"/>
          <w:wAfter w:w="142" w:type="dxa"/>
          <w:cantSplit/>
        </w:trPr>
        <w:tc>
          <w:tcPr>
            <w:tcW w:w="10206" w:type="dxa"/>
            <w:gridSpan w:val="3"/>
          </w:tcPr>
          <w:p w:rsidR="00690C7B" w:rsidRPr="002A6F8F" w:rsidRDefault="00690C7B" w:rsidP="00BA5BD0">
            <w:pPr>
              <w:spacing w:before="0"/>
              <w:rPr>
                <w:rFonts w:ascii="Verdana" w:hAnsi="Verdana"/>
                <w:b/>
                <w:sz w:val="20"/>
                <w:lang w:val="en-US"/>
              </w:rPr>
            </w:pPr>
          </w:p>
        </w:tc>
      </w:tr>
      <w:tr w:rsidR="00690C7B" w:rsidRPr="002A6F8F" w:rsidTr="007F1773">
        <w:trPr>
          <w:gridAfter w:val="1"/>
          <w:wAfter w:w="142" w:type="dxa"/>
          <w:cantSplit/>
        </w:trPr>
        <w:tc>
          <w:tcPr>
            <w:tcW w:w="10206" w:type="dxa"/>
            <w:gridSpan w:val="3"/>
          </w:tcPr>
          <w:p w:rsidR="00690C7B" w:rsidRPr="009E0AFA" w:rsidRDefault="00690C7B" w:rsidP="00690C7B">
            <w:pPr>
              <w:pStyle w:val="Source"/>
              <w:rPr>
                <w:lang w:val="fr-CH"/>
              </w:rPr>
            </w:pPr>
            <w:bookmarkStart w:id="2" w:name="dsource" w:colFirst="0" w:colLast="0"/>
            <w:r w:rsidRPr="009E0AFA">
              <w:rPr>
                <w:lang w:val="fr-CH"/>
              </w:rPr>
              <w:t xml:space="preserve">Propositions communes des </w:t>
            </w:r>
            <w:proofErr w:type="spellStart"/>
            <w:r w:rsidRPr="009E0AFA">
              <w:rPr>
                <w:lang w:val="fr-CH"/>
              </w:rPr>
              <w:t>Etats</w:t>
            </w:r>
            <w:proofErr w:type="spellEnd"/>
            <w:r w:rsidRPr="009E0AFA">
              <w:rPr>
                <w:lang w:val="fr-CH"/>
              </w:rPr>
              <w:t xml:space="preserve"> arabes</w:t>
            </w:r>
          </w:p>
        </w:tc>
      </w:tr>
      <w:tr w:rsidR="00690C7B" w:rsidRPr="008F5295" w:rsidTr="007F1773">
        <w:trPr>
          <w:gridAfter w:val="1"/>
          <w:wAfter w:w="142" w:type="dxa"/>
          <w:cantSplit/>
        </w:trPr>
        <w:tc>
          <w:tcPr>
            <w:tcW w:w="10206" w:type="dxa"/>
            <w:gridSpan w:val="3"/>
          </w:tcPr>
          <w:p w:rsidR="00690C7B" w:rsidRPr="008F5295" w:rsidRDefault="008F5295" w:rsidP="00690C7B">
            <w:pPr>
              <w:pStyle w:val="Title1"/>
              <w:rPr>
                <w:lang w:val="fr-CH"/>
              </w:rPr>
            </w:pPr>
            <w:bookmarkStart w:id="3" w:name="dtitle1" w:colFirst="0" w:colLast="0"/>
            <w:bookmarkEnd w:id="2"/>
            <w:r w:rsidRPr="008F5295">
              <w:rPr>
                <w:lang w:val="fr-CH"/>
              </w:rPr>
              <w:t>propositions pour les travaux de la conférence</w:t>
            </w:r>
          </w:p>
        </w:tc>
      </w:tr>
      <w:tr w:rsidR="00690C7B" w:rsidRPr="008F5295" w:rsidTr="007F1773">
        <w:trPr>
          <w:gridAfter w:val="1"/>
          <w:wAfter w:w="142" w:type="dxa"/>
          <w:cantSplit/>
        </w:trPr>
        <w:tc>
          <w:tcPr>
            <w:tcW w:w="10206" w:type="dxa"/>
            <w:gridSpan w:val="3"/>
          </w:tcPr>
          <w:p w:rsidR="00690C7B" w:rsidRPr="008F5295" w:rsidRDefault="00690C7B" w:rsidP="00690C7B">
            <w:pPr>
              <w:pStyle w:val="Title2"/>
              <w:rPr>
                <w:lang w:val="fr-CH"/>
              </w:rPr>
            </w:pPr>
            <w:bookmarkStart w:id="4" w:name="dtitle2" w:colFirst="0" w:colLast="0"/>
            <w:bookmarkEnd w:id="3"/>
          </w:p>
        </w:tc>
      </w:tr>
      <w:tr w:rsidR="00690C7B" w:rsidTr="007F1773">
        <w:trPr>
          <w:gridAfter w:val="1"/>
          <w:wAfter w:w="142" w:type="dxa"/>
          <w:cantSplit/>
        </w:trPr>
        <w:tc>
          <w:tcPr>
            <w:tcW w:w="10206" w:type="dxa"/>
            <w:gridSpan w:val="3"/>
          </w:tcPr>
          <w:p w:rsidR="00690C7B" w:rsidRDefault="00690C7B" w:rsidP="00690C7B">
            <w:pPr>
              <w:pStyle w:val="Agendaitem"/>
            </w:pPr>
            <w:bookmarkStart w:id="5" w:name="dtitle3" w:colFirst="0" w:colLast="0"/>
            <w:bookmarkEnd w:id="4"/>
            <w:r w:rsidRPr="006D4724">
              <w:t>Point 1.2 de l'ordre du jour</w:t>
            </w:r>
          </w:p>
        </w:tc>
      </w:tr>
    </w:tbl>
    <w:bookmarkEnd w:id="5"/>
    <w:p w:rsidR="007F1773" w:rsidRDefault="00563E65" w:rsidP="007F1773">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391A05">
        <w:rPr>
          <w:b/>
          <w:bCs/>
          <w:lang w:val="fr-CA"/>
        </w:rPr>
        <w:noBreakHyphen/>
      </w:r>
      <w:r w:rsidR="0074478A">
        <w:rPr>
          <w:b/>
          <w:bCs/>
          <w:lang w:val="fr-CA"/>
        </w:rPr>
        <w:t>1</w:t>
      </w:r>
      <w:r w:rsidRPr="004D786B">
        <w:rPr>
          <w:b/>
          <w:bCs/>
          <w:lang w:val="fr-CA"/>
        </w:rPr>
        <w:t>2)</w:t>
      </w:r>
      <w:r w:rsidRPr="009A0F74">
        <w:rPr>
          <w:lang w:val="fr-CA"/>
        </w:rPr>
        <w:t>, sur l'utilisation de la bande de fréquences 694-790 MHz par le service mobile, sauf mobile aéronautique, dans la Région 1 et prendre les mesures appropriées;</w:t>
      </w:r>
    </w:p>
    <w:p w:rsidR="007F1773" w:rsidRPr="00241643" w:rsidRDefault="007F1773" w:rsidP="007F1773">
      <w:pPr>
        <w:pStyle w:val="Title4"/>
        <w:rPr>
          <w:b w:val="0"/>
          <w:bCs/>
          <w:lang w:eastAsia="nl-NL"/>
        </w:rPr>
      </w:pPr>
      <w:r>
        <w:rPr>
          <w:b w:val="0"/>
          <w:bCs/>
          <w:lang w:eastAsia="nl-NL"/>
        </w:rPr>
        <w:t>Question</w:t>
      </w:r>
      <w:r w:rsidRPr="00241643">
        <w:rPr>
          <w:b w:val="0"/>
          <w:bCs/>
          <w:lang w:eastAsia="nl-NL"/>
        </w:rPr>
        <w:t xml:space="preserve"> В</w:t>
      </w:r>
    </w:p>
    <w:p w:rsidR="003A583E" w:rsidRPr="008F5295" w:rsidRDefault="008F5295" w:rsidP="00544E08">
      <w:pPr>
        <w:pStyle w:val="Headingb"/>
      </w:pPr>
      <w:r w:rsidRPr="008F5295">
        <w:t>Introduction</w:t>
      </w:r>
    </w:p>
    <w:p w:rsidR="00913743" w:rsidRDefault="008F5295" w:rsidP="00391A05">
      <w:r>
        <w:t>Ce point de l</w:t>
      </w:r>
      <w:r w:rsidR="00D43380">
        <w:t>'</w:t>
      </w:r>
      <w:r>
        <w:t xml:space="preserve">ordre du jour vise à étudier les besoins du service mobile et du service de radiodiffusion </w:t>
      </w:r>
      <w:r w:rsidR="00AB07FA">
        <w:t>dans le</w:t>
      </w:r>
      <w:r w:rsidR="00E13910">
        <w:t>s bandes</w:t>
      </w:r>
      <w:r w:rsidR="00AB07FA">
        <w:t xml:space="preserve"> de fréquences inférieures à 790</w:t>
      </w:r>
      <w:r w:rsidR="00E13910">
        <w:t xml:space="preserve"> </w:t>
      </w:r>
      <w:r w:rsidR="00AB07FA">
        <w:t>MHz, ainsi qu</w:t>
      </w:r>
      <w:r w:rsidR="00D43380">
        <w:t>'</w:t>
      </w:r>
      <w:r w:rsidR="00AB07FA">
        <w:t>à étu</w:t>
      </w:r>
      <w:r w:rsidR="00CC28ED">
        <w:t>dier les</w:t>
      </w:r>
      <w:r w:rsidR="00AB07FA">
        <w:t xml:space="preserve"> disposition</w:t>
      </w:r>
      <w:r w:rsidR="00CC28ED">
        <w:t>s de</w:t>
      </w:r>
      <w:r w:rsidR="00AB07FA">
        <w:t xml:space="preserve"> canaux </w:t>
      </w:r>
      <w:r w:rsidR="00CC28ED">
        <w:t>permet</w:t>
      </w:r>
      <w:r w:rsidR="00E8511B">
        <w:t>ta</w:t>
      </w:r>
      <w:r w:rsidR="00CC28ED">
        <w:t>nt</w:t>
      </w:r>
      <w:r w:rsidR="00AB07FA">
        <w:t xml:space="preserve"> de fournir un service mobile approprié dans cette bande, compte dûment tenu de la compatibilité avec d</w:t>
      </w:r>
      <w:r w:rsidR="00D43380">
        <w:t>'</w:t>
      </w:r>
      <w:r w:rsidR="00AB07FA">
        <w:t>autres services primaires auxquels cette bande et les bandes adjacentes sont attribuées.</w:t>
      </w:r>
    </w:p>
    <w:p w:rsidR="00913743" w:rsidRPr="008F5295" w:rsidRDefault="00913743" w:rsidP="00544E08">
      <w:pPr>
        <w:pStyle w:val="Headingb"/>
      </w:pPr>
      <w:r>
        <w:t>Propositions</w:t>
      </w:r>
    </w:p>
    <w:p w:rsidR="00913743" w:rsidRDefault="00913743" w:rsidP="00391A05">
      <w:r>
        <w:t>Au vu des résultats des études de l</w:t>
      </w:r>
      <w:r w:rsidR="00D43380">
        <w:t>'</w:t>
      </w:r>
      <w:r>
        <w:t xml:space="preserve">UIT-R concernant la </w:t>
      </w:r>
      <w:r w:rsidR="00391A05">
        <w:t>Q</w:t>
      </w:r>
      <w:r>
        <w:t xml:space="preserve">uestion B, les administrations des </w:t>
      </w:r>
      <w:proofErr w:type="spellStart"/>
      <w:r>
        <w:t>Etats</w:t>
      </w:r>
      <w:proofErr w:type="spellEnd"/>
      <w:r>
        <w:t xml:space="preserve"> arabes</w:t>
      </w:r>
      <w:r w:rsidR="00391A05">
        <w:t xml:space="preserve"> proposent ce qui suit</w:t>
      </w:r>
      <w:r>
        <w:t>:</w:t>
      </w:r>
    </w:p>
    <w:p w:rsidR="00913743" w:rsidRDefault="004C073C" w:rsidP="00391A05">
      <w:pPr>
        <w:pStyle w:val="enumlev1"/>
      </w:pPr>
      <w:r>
        <w:t>–</w:t>
      </w:r>
      <w:r w:rsidR="00BE34E1">
        <w:tab/>
      </w:r>
      <w:r w:rsidR="00913743">
        <w:t>Pas de modification du Règlement des radiocommunications, étant donné que l</w:t>
      </w:r>
      <w:r w:rsidR="00D43380">
        <w:t>'</w:t>
      </w:r>
      <w:r w:rsidR="00913743">
        <w:t>Accord</w:t>
      </w:r>
      <w:r w:rsidR="00391A05">
        <w:t> </w:t>
      </w:r>
      <w:r w:rsidR="00913743">
        <w:t xml:space="preserve">GE06 contient les dispositions nécessaires pour </w:t>
      </w:r>
      <w:r w:rsidR="00EF6774">
        <w:t>assurer la protection d</w:t>
      </w:r>
      <w:r w:rsidR="00913743">
        <w:t>es services de radiodiffusion dans les pays voisins.</w:t>
      </w:r>
    </w:p>
    <w:p w:rsidR="00B525B1" w:rsidRDefault="004C073C" w:rsidP="004C073C">
      <w:pPr>
        <w:pStyle w:val="enumlev1"/>
      </w:pPr>
      <w:r w:rsidRPr="004C073C">
        <w:rPr>
          <w:lang w:val="fr-CH"/>
        </w:rPr>
        <w:t>–</w:t>
      </w:r>
      <w:r w:rsidR="00BE34E1">
        <w:rPr>
          <w:lang w:val="fr-CH"/>
        </w:rPr>
        <w:tab/>
      </w:r>
      <w:r w:rsidR="00EF6774" w:rsidRPr="006F04FC">
        <w:rPr>
          <w:lang w:val="fr-CH"/>
        </w:rPr>
        <w:t xml:space="preserve">Les administrations peuvent prendre des mesures pour définir un ensemble de conditions techniques applicables </w:t>
      </w:r>
      <w:r w:rsidR="00EF6774">
        <w:rPr>
          <w:lang w:val="fr-CH"/>
        </w:rPr>
        <w:t>aux équipements d'utilisateur des IMT afin de protéger le service de radiodiffusion au</w:t>
      </w:r>
      <w:r w:rsidR="00EF6774">
        <w:rPr>
          <w:lang w:val="fr-CH"/>
        </w:rPr>
        <w:noBreakHyphen/>
        <w:t>dessous de 694 </w:t>
      </w:r>
      <w:r w:rsidR="00EF6774" w:rsidRPr="006F04FC">
        <w:rPr>
          <w:lang w:val="fr-CH"/>
        </w:rPr>
        <w:t xml:space="preserve">MHz, </w:t>
      </w:r>
      <w:r w:rsidR="00EF6774">
        <w:rPr>
          <w:lang w:val="fr-CH"/>
        </w:rPr>
        <w:t>aux niveaux local, national ou régional.</w:t>
      </w:r>
    </w:p>
    <w:p w:rsidR="0015203F" w:rsidRDefault="0015203F" w:rsidP="00B525B1">
      <w:r>
        <w:br w:type="page"/>
      </w:r>
    </w:p>
    <w:p w:rsidR="005769E6" w:rsidRPr="00E8511B" w:rsidRDefault="00563E65">
      <w:pPr>
        <w:pStyle w:val="Proposal"/>
        <w:rPr>
          <w:lang w:val="fr-CH"/>
        </w:rPr>
      </w:pPr>
      <w:r w:rsidRPr="00E8511B">
        <w:rPr>
          <w:u w:val="single"/>
          <w:lang w:val="fr-CH"/>
        </w:rPr>
        <w:lastRenderedPageBreak/>
        <w:t>NOC</w:t>
      </w:r>
      <w:r w:rsidRPr="00E8511B">
        <w:rPr>
          <w:lang w:val="fr-CH"/>
        </w:rPr>
        <w:tab/>
        <w:t>ARB/25A2A2/1</w:t>
      </w:r>
    </w:p>
    <w:p w:rsidR="005769E6" w:rsidRPr="00391A05" w:rsidRDefault="00391A05" w:rsidP="00391A05">
      <w:pPr>
        <w:pStyle w:val="Volumetitle"/>
        <w:rPr>
          <w:b/>
          <w:bCs/>
        </w:rPr>
      </w:pPr>
      <w:r w:rsidRPr="00391A05">
        <w:rPr>
          <w:b/>
          <w:bCs/>
          <w:caps w:val="0"/>
        </w:rPr>
        <w:t>Règlement des radiocommunications</w:t>
      </w:r>
    </w:p>
    <w:p w:rsidR="005769E6" w:rsidRDefault="00563E65">
      <w:pPr>
        <w:pStyle w:val="Reasons"/>
      </w:pPr>
      <w:r>
        <w:rPr>
          <w:b/>
        </w:rPr>
        <w:t>Motifs:</w:t>
      </w:r>
      <w:r>
        <w:tab/>
      </w:r>
      <w:r w:rsidR="00EF6774" w:rsidRPr="00EF6774">
        <w:t>La protection du SR au-dessous de 694 MHz vis-à-vis du SM peut être assurée si l'on applique les dispositions techniques et réglementaires prévues dans l'Accord GE06. Des études de cas relatives aux brouillages ont montré que le seuil de déclenchement de la coordination pour une seule source de brouillage (par exemple le seuil prévu dans l'Accord GE06) suffit pour protéger le SR contre les brouillages cumulatifs. Une nouvelle recommandation pourra, au besoin, être élaborée afin de spécifier les limites des émissions hors bande que doivent respecter les équipements d'utilisateur des IMT au-dessous de 694 MHz. Par conséquent, cette méthode devrait être adoptée à la CMR-15.</w:t>
      </w:r>
    </w:p>
    <w:p w:rsidR="00391A05" w:rsidRDefault="00391A05" w:rsidP="00391A05"/>
    <w:p w:rsidR="00B525B1" w:rsidRDefault="00B525B1">
      <w:pPr>
        <w:jc w:val="center"/>
      </w:pPr>
      <w:bookmarkStart w:id="6" w:name="_GoBack"/>
      <w:bookmarkEnd w:id="6"/>
      <w:r>
        <w:t>______________</w:t>
      </w:r>
    </w:p>
    <w:sectPr w:rsidR="00B525B1">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65" w:rsidRDefault="00563E65">
      <w:r>
        <w:separator/>
      </w:r>
    </w:p>
  </w:endnote>
  <w:endnote w:type="continuationSeparator" w:id="0">
    <w:p w:rsidR="00563E65" w:rsidRDefault="005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C073C">
      <w:rPr>
        <w:noProof/>
        <w:lang w:val="en-US"/>
      </w:rPr>
      <w:t>P:\FRA\ITU-R\CONF-R\CMR15\000\025ADD02ADD2F.docx</w:t>
    </w:r>
    <w:r>
      <w:fldChar w:fldCharType="end"/>
    </w:r>
    <w:r>
      <w:rPr>
        <w:lang w:val="en-US"/>
      </w:rPr>
      <w:tab/>
    </w:r>
    <w:r>
      <w:fldChar w:fldCharType="begin"/>
    </w:r>
    <w:r>
      <w:instrText xml:space="preserve"> SAVEDATE \@ DD.MM.YY </w:instrText>
    </w:r>
    <w:r>
      <w:fldChar w:fldCharType="separate"/>
    </w:r>
    <w:r w:rsidR="00544E08">
      <w:rPr>
        <w:noProof/>
      </w:rPr>
      <w:t>12.10.15</w:t>
    </w:r>
    <w:r>
      <w:fldChar w:fldCharType="end"/>
    </w:r>
    <w:r>
      <w:rPr>
        <w:lang w:val="en-US"/>
      </w:rPr>
      <w:tab/>
    </w:r>
    <w:r>
      <w:fldChar w:fldCharType="begin"/>
    </w:r>
    <w:r>
      <w:instrText xml:space="preserve"> PRINTDATE \@ DD.MM.YY </w:instrText>
    </w:r>
    <w:r>
      <w:fldChar w:fldCharType="separate"/>
    </w:r>
    <w:r w:rsidR="004C073C">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F1773" w:rsidRDefault="007F1773" w:rsidP="007F1773">
    <w:pPr>
      <w:pStyle w:val="Footer"/>
      <w:rPr>
        <w:lang w:val="en-US"/>
      </w:rPr>
    </w:pPr>
    <w:r>
      <w:fldChar w:fldCharType="begin"/>
    </w:r>
    <w:r>
      <w:rPr>
        <w:lang w:val="en-US"/>
      </w:rPr>
      <w:instrText xml:space="preserve"> FILENAME \p  \* MERGEFORMAT </w:instrText>
    </w:r>
    <w:r>
      <w:fldChar w:fldCharType="separate"/>
    </w:r>
    <w:r>
      <w:rPr>
        <w:lang w:val="en-US"/>
      </w:rPr>
      <w:t>P:\FRA\ITU-R\CONF-R\CMR15\000\025ADD02ADD02REV1F.docx</w:t>
    </w:r>
    <w:r>
      <w:fldChar w:fldCharType="end"/>
    </w:r>
    <w:r w:rsidRPr="00544E08">
      <w:rPr>
        <w:lang w:val="en-US"/>
      </w:rPr>
      <w:t xml:space="preserve"> (387979)</w:t>
    </w:r>
    <w:r>
      <w:rPr>
        <w:lang w:val="en-US"/>
      </w:rPr>
      <w:tab/>
    </w:r>
    <w:r>
      <w:fldChar w:fldCharType="begin"/>
    </w:r>
    <w:r>
      <w:instrText xml:space="preserve"> SAVEDATE \@ DD.MM.YY </w:instrText>
    </w:r>
    <w:r>
      <w:fldChar w:fldCharType="separate"/>
    </w:r>
    <w:r w:rsidR="00544E08">
      <w:t>12.10.15</w:t>
    </w:r>
    <w:r>
      <w:fldChar w:fldCharType="end"/>
    </w:r>
    <w:r>
      <w:rPr>
        <w:lang w:val="en-US"/>
      </w:rPr>
      <w:tab/>
    </w:r>
    <w:r>
      <w:fldChar w:fldCharType="begin"/>
    </w:r>
    <w:r>
      <w:instrText xml:space="preserve"> PRINTDATE \@ DD.MM.YY </w:instrText>
    </w:r>
    <w:r>
      <w:fldChar w:fldCharType="separate"/>
    </w:r>
    <w:r>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7F1773">
    <w:pPr>
      <w:pStyle w:val="Footer"/>
      <w:rPr>
        <w:lang w:val="en-US"/>
      </w:rPr>
    </w:pPr>
    <w:r>
      <w:fldChar w:fldCharType="begin"/>
    </w:r>
    <w:r>
      <w:rPr>
        <w:lang w:val="en-US"/>
      </w:rPr>
      <w:instrText xml:space="preserve"> FILENAME \p  \* MERGEFORMAT </w:instrText>
    </w:r>
    <w:r>
      <w:fldChar w:fldCharType="separate"/>
    </w:r>
    <w:r w:rsidR="007F1773">
      <w:rPr>
        <w:lang w:val="en-US"/>
      </w:rPr>
      <w:t>P:\FRA\ITU-R\CONF-R\CMR15\000\025ADD02ADD02REV1F.docx</w:t>
    </w:r>
    <w:r>
      <w:fldChar w:fldCharType="end"/>
    </w:r>
    <w:r w:rsidR="00D43380" w:rsidRPr="00544E08">
      <w:rPr>
        <w:lang w:val="en-US"/>
      </w:rPr>
      <w:t xml:space="preserve"> (38</w:t>
    </w:r>
    <w:r w:rsidR="007F1773" w:rsidRPr="00544E08">
      <w:rPr>
        <w:lang w:val="en-US"/>
      </w:rPr>
      <w:t>7979</w:t>
    </w:r>
    <w:r w:rsidR="00D43380" w:rsidRPr="00544E08">
      <w:rPr>
        <w:lang w:val="en-US"/>
      </w:rPr>
      <w:t>)</w:t>
    </w:r>
    <w:r>
      <w:rPr>
        <w:lang w:val="en-US"/>
      </w:rPr>
      <w:tab/>
    </w:r>
    <w:r>
      <w:fldChar w:fldCharType="begin"/>
    </w:r>
    <w:r>
      <w:instrText xml:space="preserve"> SAVEDATE \@ DD.MM.YY </w:instrText>
    </w:r>
    <w:r>
      <w:fldChar w:fldCharType="separate"/>
    </w:r>
    <w:r w:rsidR="00544E08">
      <w:t>12.10.15</w:t>
    </w:r>
    <w:r>
      <w:fldChar w:fldCharType="end"/>
    </w:r>
    <w:r>
      <w:rPr>
        <w:lang w:val="en-US"/>
      </w:rPr>
      <w:tab/>
    </w:r>
    <w:r>
      <w:fldChar w:fldCharType="begin"/>
    </w:r>
    <w:r>
      <w:instrText xml:space="preserve"> PRINTDATE \@ DD.MM.YY </w:instrText>
    </w:r>
    <w:r>
      <w:fldChar w:fldCharType="separate"/>
    </w:r>
    <w:r w:rsidR="007F1773">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65" w:rsidRDefault="00563E65">
      <w:r>
        <w:rPr>
          <w:b/>
        </w:rPr>
        <w:t>_______________</w:t>
      </w:r>
    </w:p>
  </w:footnote>
  <w:footnote w:type="continuationSeparator" w:id="0">
    <w:p w:rsidR="00563E65" w:rsidRDefault="0056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768FE">
      <w:rPr>
        <w:noProof/>
      </w:rPr>
      <w:t>2</w:t>
    </w:r>
    <w:r>
      <w:fldChar w:fldCharType="end"/>
    </w:r>
  </w:p>
  <w:p w:rsidR="004F1F8E" w:rsidRDefault="004F1F8E" w:rsidP="002C28A4">
    <w:pPr>
      <w:pStyle w:val="Header"/>
    </w:pPr>
    <w:r>
      <w:t>CMR1</w:t>
    </w:r>
    <w:r w:rsidR="002C28A4">
      <w:t>5</w:t>
    </w:r>
    <w:r>
      <w:t>/</w:t>
    </w:r>
    <w:r w:rsidR="006A4B45">
      <w:t>25(Add.2)(Add.2)</w:t>
    </w:r>
    <w:r w:rsidR="00484678">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4DC1EBC"/>
    <w:multiLevelType w:val="hybridMultilevel"/>
    <w:tmpl w:val="BEE4A314"/>
    <w:lvl w:ilvl="0" w:tplc="96F6E8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0F4"/>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132F0"/>
    <w:rsid w:val="00232FD2"/>
    <w:rsid w:val="0026554E"/>
    <w:rsid w:val="002A4622"/>
    <w:rsid w:val="002A6F8F"/>
    <w:rsid w:val="002B17E5"/>
    <w:rsid w:val="002C0EBF"/>
    <w:rsid w:val="002C28A4"/>
    <w:rsid w:val="00315AFE"/>
    <w:rsid w:val="003606A6"/>
    <w:rsid w:val="0036650C"/>
    <w:rsid w:val="00391A05"/>
    <w:rsid w:val="00393ACD"/>
    <w:rsid w:val="003A583E"/>
    <w:rsid w:val="003E112B"/>
    <w:rsid w:val="003E1D1C"/>
    <w:rsid w:val="003E7B05"/>
    <w:rsid w:val="00466211"/>
    <w:rsid w:val="004834A9"/>
    <w:rsid w:val="00484678"/>
    <w:rsid w:val="00485D43"/>
    <w:rsid w:val="004C073C"/>
    <w:rsid w:val="004D01FC"/>
    <w:rsid w:val="004E28C3"/>
    <w:rsid w:val="004F1F8E"/>
    <w:rsid w:val="00512A32"/>
    <w:rsid w:val="00544E08"/>
    <w:rsid w:val="00563E65"/>
    <w:rsid w:val="005769E6"/>
    <w:rsid w:val="00586CF2"/>
    <w:rsid w:val="005C3768"/>
    <w:rsid w:val="005C6C3F"/>
    <w:rsid w:val="00613635"/>
    <w:rsid w:val="0062093D"/>
    <w:rsid w:val="00637ECF"/>
    <w:rsid w:val="00647B59"/>
    <w:rsid w:val="00690C7B"/>
    <w:rsid w:val="006A1439"/>
    <w:rsid w:val="006A4B45"/>
    <w:rsid w:val="006D4724"/>
    <w:rsid w:val="00701BAE"/>
    <w:rsid w:val="00721F04"/>
    <w:rsid w:val="00730E95"/>
    <w:rsid w:val="007426B9"/>
    <w:rsid w:val="0074478A"/>
    <w:rsid w:val="00764342"/>
    <w:rsid w:val="00774362"/>
    <w:rsid w:val="00786598"/>
    <w:rsid w:val="007A04E8"/>
    <w:rsid w:val="007F1773"/>
    <w:rsid w:val="00851625"/>
    <w:rsid w:val="00863C0A"/>
    <w:rsid w:val="008A3120"/>
    <w:rsid w:val="008D41BE"/>
    <w:rsid w:val="008D58D3"/>
    <w:rsid w:val="008F5295"/>
    <w:rsid w:val="00913743"/>
    <w:rsid w:val="00923064"/>
    <w:rsid w:val="00930FFD"/>
    <w:rsid w:val="00936D25"/>
    <w:rsid w:val="00941EA5"/>
    <w:rsid w:val="00964700"/>
    <w:rsid w:val="00966C16"/>
    <w:rsid w:val="0098732F"/>
    <w:rsid w:val="009A045F"/>
    <w:rsid w:val="009C7E7C"/>
    <w:rsid w:val="009E0AFA"/>
    <w:rsid w:val="00A00473"/>
    <w:rsid w:val="00A03C9B"/>
    <w:rsid w:val="00A37105"/>
    <w:rsid w:val="00A51E04"/>
    <w:rsid w:val="00A606C3"/>
    <w:rsid w:val="00A83B09"/>
    <w:rsid w:val="00A84541"/>
    <w:rsid w:val="00AB07FA"/>
    <w:rsid w:val="00AE36A0"/>
    <w:rsid w:val="00B00294"/>
    <w:rsid w:val="00B525B1"/>
    <w:rsid w:val="00B64FD0"/>
    <w:rsid w:val="00B768FE"/>
    <w:rsid w:val="00BA5BD0"/>
    <w:rsid w:val="00BB1D82"/>
    <w:rsid w:val="00BE34E1"/>
    <w:rsid w:val="00BF26E7"/>
    <w:rsid w:val="00C53FCA"/>
    <w:rsid w:val="00C76BAF"/>
    <w:rsid w:val="00C814B9"/>
    <w:rsid w:val="00CC28ED"/>
    <w:rsid w:val="00CD516F"/>
    <w:rsid w:val="00D119A7"/>
    <w:rsid w:val="00D25FBA"/>
    <w:rsid w:val="00D32B28"/>
    <w:rsid w:val="00D42954"/>
    <w:rsid w:val="00D43380"/>
    <w:rsid w:val="00D66EAC"/>
    <w:rsid w:val="00D730DF"/>
    <w:rsid w:val="00D772F0"/>
    <w:rsid w:val="00D77BDC"/>
    <w:rsid w:val="00DC402B"/>
    <w:rsid w:val="00DE0932"/>
    <w:rsid w:val="00E03A27"/>
    <w:rsid w:val="00E049F1"/>
    <w:rsid w:val="00E13910"/>
    <w:rsid w:val="00E37A25"/>
    <w:rsid w:val="00E537FF"/>
    <w:rsid w:val="00E6539B"/>
    <w:rsid w:val="00E70A31"/>
    <w:rsid w:val="00E8228E"/>
    <w:rsid w:val="00E8511B"/>
    <w:rsid w:val="00EA3F38"/>
    <w:rsid w:val="00EA5AB6"/>
    <w:rsid w:val="00EC7615"/>
    <w:rsid w:val="00ED16AA"/>
    <w:rsid w:val="00EF662E"/>
    <w:rsid w:val="00EF6774"/>
    <w:rsid w:val="00F148F1"/>
    <w:rsid w:val="00FA3BBF"/>
    <w:rsid w:val="00FC41F8"/>
    <w:rsid w:val="00FF1C40"/>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CF7DAC-8B8A-4334-9988-CE4938D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styleId="ListParagraph">
    <w:name w:val="List Paragraph"/>
    <w:basedOn w:val="Normal"/>
    <w:uiPriority w:val="34"/>
    <w:qFormat/>
    <w:rsid w:val="0091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5B1E-CDF6-41A6-A76A-ECB90236A0ED}">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D090268B-5F7C-46B1-8AA9-2FC13D15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R15-WRC15-C-0025!A2-A2!MSW-F</vt:lpstr>
    </vt:vector>
  </TitlesOfParts>
  <Manager>Secrétariat général - Pool</Manager>
  <Company>Union internationale des télécommunications (UIT)</Company>
  <LinksUpToDate>false</LinksUpToDate>
  <CharactersWithSpaces>2393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R15-WRC15-C-0025!A2-A2!MSW-F</dc:title>
  <dc:subject>Conférence mondiale des radiocommunications - 2015</dc:subject>
  <dc:creator>Documents Proposals Manager (DPM)</dc:creator>
  <cp:keywords>DPM_v5.2015.9.16_prod</cp:keywords>
  <dc:description/>
  <cp:lastModifiedBy>Royer, Veronique</cp:lastModifiedBy>
  <cp:revision>6</cp:revision>
  <cp:lastPrinted>2015-09-30T11:55:00Z</cp:lastPrinted>
  <dcterms:created xsi:type="dcterms:W3CDTF">2015-10-12T05:46:00Z</dcterms:created>
  <dcterms:modified xsi:type="dcterms:W3CDTF">2015-10-15T13:04:00Z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