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663"/>
        <w:gridCol w:w="248"/>
        <w:gridCol w:w="3120"/>
        <w:gridCol w:w="317"/>
      </w:tblGrid>
      <w:tr w:rsidR="00A066F1" w:rsidRPr="00AC6FC4" w:rsidTr="006669BC">
        <w:trPr>
          <w:gridAfter w:val="1"/>
          <w:wAfter w:w="317" w:type="dxa"/>
          <w:cantSplit/>
        </w:trPr>
        <w:tc>
          <w:tcPr>
            <w:tcW w:w="6911" w:type="dxa"/>
            <w:gridSpan w:val="2"/>
          </w:tcPr>
          <w:p w:rsidR="00A066F1" w:rsidRPr="00AC6FC4" w:rsidRDefault="00241FA2" w:rsidP="006669BC">
            <w:pPr>
              <w:spacing w:before="400" w:after="48"/>
              <w:rPr>
                <w:rFonts w:ascii="Verdana" w:hAnsi="Verdana"/>
                <w:position w:val="6"/>
              </w:rPr>
            </w:pPr>
            <w:r w:rsidRPr="00AC6FC4">
              <w:rPr>
                <w:rFonts w:ascii="Verdana" w:hAnsi="Verdana" w:cs="Times"/>
                <w:b/>
                <w:position w:val="6"/>
                <w:sz w:val="22"/>
                <w:szCs w:val="22"/>
              </w:rPr>
              <w:t>World Radiocommunication Conference (WRC-15)</w:t>
            </w:r>
            <w:r w:rsidRPr="00AC6FC4">
              <w:rPr>
                <w:rFonts w:ascii="Verdana" w:hAnsi="Verdana" w:cs="Times"/>
                <w:b/>
                <w:position w:val="6"/>
                <w:sz w:val="26"/>
                <w:szCs w:val="26"/>
              </w:rPr>
              <w:br/>
            </w:r>
            <w:r w:rsidRPr="00AC6FC4">
              <w:rPr>
                <w:rFonts w:ascii="Verdana" w:hAnsi="Verdana"/>
                <w:b/>
                <w:bCs/>
                <w:position w:val="6"/>
                <w:sz w:val="18"/>
                <w:szCs w:val="18"/>
              </w:rPr>
              <w:t>Geneva, 2–27 November 2015</w:t>
            </w:r>
          </w:p>
        </w:tc>
        <w:tc>
          <w:tcPr>
            <w:tcW w:w="3120" w:type="dxa"/>
          </w:tcPr>
          <w:p w:rsidR="00A066F1" w:rsidRPr="00AC6FC4" w:rsidRDefault="003B2284" w:rsidP="006669BC">
            <w:pPr>
              <w:spacing w:before="0"/>
              <w:jc w:val="right"/>
            </w:pPr>
            <w:bookmarkStart w:id="0" w:name="ditulogo"/>
            <w:bookmarkEnd w:id="0"/>
            <w:r w:rsidRPr="00AC6FC4">
              <w:rPr>
                <w:noProof/>
                <w:lang w:val="en-US" w:eastAsia="zh-CN"/>
              </w:rPr>
              <w:drawing>
                <wp:inline distT="0" distB="0" distL="0" distR="0" wp14:anchorId="4551F00A" wp14:editId="73727F3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C6FC4" w:rsidTr="006669BC">
        <w:trPr>
          <w:gridAfter w:val="1"/>
          <w:wAfter w:w="317" w:type="dxa"/>
          <w:cantSplit/>
        </w:trPr>
        <w:tc>
          <w:tcPr>
            <w:tcW w:w="6911" w:type="dxa"/>
            <w:gridSpan w:val="2"/>
            <w:tcBorders>
              <w:bottom w:val="single" w:sz="12" w:space="0" w:color="auto"/>
            </w:tcBorders>
          </w:tcPr>
          <w:p w:rsidR="00A066F1" w:rsidRPr="00AC6FC4" w:rsidRDefault="003B2284" w:rsidP="006669BC">
            <w:pPr>
              <w:spacing w:before="0" w:after="48"/>
              <w:rPr>
                <w:rFonts w:ascii="Verdana" w:hAnsi="Verdana"/>
                <w:b/>
                <w:smallCaps/>
                <w:sz w:val="20"/>
              </w:rPr>
            </w:pPr>
            <w:bookmarkStart w:id="1" w:name="dhead"/>
            <w:r w:rsidRPr="00AC6FC4">
              <w:rPr>
                <w:rFonts w:ascii="Verdana" w:hAnsi="Verdana"/>
                <w:b/>
                <w:smallCaps/>
                <w:sz w:val="20"/>
              </w:rPr>
              <w:t>INTERNATIONAL TELECOMMUNICATION UNION</w:t>
            </w:r>
          </w:p>
        </w:tc>
        <w:tc>
          <w:tcPr>
            <w:tcW w:w="3120" w:type="dxa"/>
            <w:tcBorders>
              <w:bottom w:val="single" w:sz="12" w:space="0" w:color="auto"/>
            </w:tcBorders>
          </w:tcPr>
          <w:p w:rsidR="00A066F1" w:rsidRPr="00AC6FC4" w:rsidRDefault="00A066F1" w:rsidP="006669BC">
            <w:pPr>
              <w:spacing w:before="0"/>
              <w:rPr>
                <w:rFonts w:ascii="Verdana" w:hAnsi="Verdana"/>
                <w:szCs w:val="24"/>
              </w:rPr>
            </w:pPr>
          </w:p>
        </w:tc>
      </w:tr>
      <w:tr w:rsidR="00A066F1" w:rsidRPr="00AC6FC4" w:rsidTr="006669BC">
        <w:trPr>
          <w:gridAfter w:val="1"/>
          <w:wAfter w:w="317" w:type="dxa"/>
          <w:cantSplit/>
        </w:trPr>
        <w:tc>
          <w:tcPr>
            <w:tcW w:w="6911" w:type="dxa"/>
            <w:gridSpan w:val="2"/>
            <w:tcBorders>
              <w:top w:val="single" w:sz="12" w:space="0" w:color="auto"/>
            </w:tcBorders>
          </w:tcPr>
          <w:p w:rsidR="00A066F1" w:rsidRPr="00AC6FC4" w:rsidRDefault="00A066F1" w:rsidP="006669BC">
            <w:pPr>
              <w:spacing w:before="0" w:after="48"/>
              <w:rPr>
                <w:rFonts w:ascii="Verdana" w:hAnsi="Verdana"/>
                <w:b/>
                <w:smallCaps/>
                <w:sz w:val="20"/>
              </w:rPr>
            </w:pPr>
          </w:p>
        </w:tc>
        <w:tc>
          <w:tcPr>
            <w:tcW w:w="3120" w:type="dxa"/>
            <w:tcBorders>
              <w:top w:val="single" w:sz="12" w:space="0" w:color="auto"/>
            </w:tcBorders>
          </w:tcPr>
          <w:p w:rsidR="00A066F1" w:rsidRPr="00AC6FC4" w:rsidRDefault="00A066F1" w:rsidP="006669BC">
            <w:pPr>
              <w:spacing w:before="0"/>
              <w:rPr>
                <w:rFonts w:ascii="Verdana" w:hAnsi="Verdana"/>
                <w:sz w:val="20"/>
              </w:rPr>
            </w:pPr>
          </w:p>
        </w:tc>
      </w:tr>
      <w:tr w:rsidR="00A066F1" w:rsidRPr="00AC6FC4" w:rsidTr="006669BC">
        <w:trPr>
          <w:cantSplit/>
          <w:trHeight w:val="23"/>
        </w:trPr>
        <w:tc>
          <w:tcPr>
            <w:tcW w:w="6663" w:type="dxa"/>
            <w:shd w:val="clear" w:color="auto" w:fill="auto"/>
          </w:tcPr>
          <w:p w:rsidR="00A066F1" w:rsidRPr="00AC6FC4" w:rsidRDefault="00FF5EA8" w:rsidP="006669BC">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AC6FC4">
              <w:rPr>
                <w:rFonts w:ascii="Verdana" w:hAnsi="Verdana"/>
                <w:sz w:val="20"/>
                <w:szCs w:val="20"/>
              </w:rPr>
              <w:t>PLENARY MEETING</w:t>
            </w:r>
          </w:p>
        </w:tc>
        <w:tc>
          <w:tcPr>
            <w:tcW w:w="3685" w:type="dxa"/>
            <w:gridSpan w:val="3"/>
            <w:shd w:val="clear" w:color="auto" w:fill="auto"/>
          </w:tcPr>
          <w:p w:rsidR="00A066F1" w:rsidRPr="00AC6FC4" w:rsidRDefault="006669BC" w:rsidP="006669BC">
            <w:pPr>
              <w:tabs>
                <w:tab w:val="left" w:pos="851"/>
              </w:tabs>
              <w:spacing w:before="0"/>
              <w:rPr>
                <w:rFonts w:ascii="Verdana" w:hAnsi="Verdana"/>
                <w:sz w:val="20"/>
              </w:rPr>
            </w:pPr>
            <w:r>
              <w:rPr>
                <w:rFonts w:ascii="Verdana" w:eastAsia="SimSun" w:hAnsi="Verdana" w:cs="Traditional Arabic"/>
                <w:b/>
                <w:sz w:val="20"/>
              </w:rPr>
              <w:t>Revision 1</w:t>
            </w:r>
            <w:r w:rsidR="00E55816" w:rsidRPr="00AC6FC4">
              <w:rPr>
                <w:rFonts w:ascii="Verdana" w:eastAsia="SimSun" w:hAnsi="Verdana" w:cs="Traditional Arabic"/>
                <w:b/>
                <w:sz w:val="20"/>
              </w:rPr>
              <w:t xml:space="preserve"> to</w:t>
            </w:r>
            <w:r w:rsidR="00E55816" w:rsidRPr="00AC6FC4">
              <w:rPr>
                <w:rFonts w:ascii="Verdana" w:eastAsia="SimSun" w:hAnsi="Verdana" w:cs="Traditional Arabic"/>
                <w:b/>
                <w:sz w:val="20"/>
              </w:rPr>
              <w:br/>
              <w:t>Document 25(Add.2)</w:t>
            </w:r>
            <w:r>
              <w:rPr>
                <w:rFonts w:ascii="Verdana" w:eastAsia="SimSun" w:hAnsi="Verdana" w:cs="Traditional Arabic"/>
                <w:b/>
                <w:sz w:val="20"/>
              </w:rPr>
              <w:t>(Add.2)</w:t>
            </w:r>
            <w:r w:rsidR="00A066F1" w:rsidRPr="00AC6FC4">
              <w:rPr>
                <w:rFonts w:ascii="Verdana" w:hAnsi="Verdana"/>
                <w:b/>
                <w:sz w:val="20"/>
              </w:rPr>
              <w:t>-</w:t>
            </w:r>
            <w:r w:rsidR="005E10C9" w:rsidRPr="00AC6FC4">
              <w:rPr>
                <w:rFonts w:ascii="Verdana" w:hAnsi="Verdana"/>
                <w:b/>
                <w:sz w:val="20"/>
              </w:rPr>
              <w:t>E</w:t>
            </w:r>
          </w:p>
        </w:tc>
      </w:tr>
      <w:tr w:rsidR="00A066F1" w:rsidRPr="00AC6FC4" w:rsidTr="006669BC">
        <w:trPr>
          <w:gridAfter w:val="1"/>
          <w:wAfter w:w="317" w:type="dxa"/>
          <w:cantSplit/>
          <w:trHeight w:val="23"/>
        </w:trPr>
        <w:tc>
          <w:tcPr>
            <w:tcW w:w="6663" w:type="dxa"/>
            <w:shd w:val="clear" w:color="auto" w:fill="auto"/>
          </w:tcPr>
          <w:p w:rsidR="00A066F1" w:rsidRPr="00AC6FC4" w:rsidRDefault="00A066F1" w:rsidP="006669BC">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368" w:type="dxa"/>
            <w:gridSpan w:val="2"/>
            <w:shd w:val="clear" w:color="auto" w:fill="auto"/>
          </w:tcPr>
          <w:p w:rsidR="00A066F1" w:rsidRPr="00AC6FC4" w:rsidRDefault="006669BC" w:rsidP="006669BC">
            <w:pPr>
              <w:tabs>
                <w:tab w:val="left" w:pos="993"/>
              </w:tabs>
              <w:spacing w:before="0"/>
              <w:rPr>
                <w:rFonts w:ascii="Verdana" w:hAnsi="Verdana"/>
                <w:sz w:val="20"/>
              </w:rPr>
            </w:pPr>
            <w:r>
              <w:rPr>
                <w:rFonts w:ascii="Verdana" w:hAnsi="Verdana"/>
                <w:b/>
                <w:sz w:val="20"/>
              </w:rPr>
              <w:t>9 October</w:t>
            </w:r>
            <w:r w:rsidR="00420873" w:rsidRPr="00AC6FC4">
              <w:rPr>
                <w:rFonts w:ascii="Verdana" w:hAnsi="Verdana"/>
                <w:b/>
                <w:sz w:val="20"/>
              </w:rPr>
              <w:t xml:space="preserve"> 2015</w:t>
            </w:r>
          </w:p>
        </w:tc>
      </w:tr>
      <w:tr w:rsidR="00A066F1" w:rsidRPr="00AC6FC4" w:rsidTr="006669BC">
        <w:trPr>
          <w:gridAfter w:val="1"/>
          <w:wAfter w:w="317" w:type="dxa"/>
          <w:cantSplit/>
          <w:trHeight w:val="23"/>
        </w:trPr>
        <w:tc>
          <w:tcPr>
            <w:tcW w:w="6663" w:type="dxa"/>
            <w:shd w:val="clear" w:color="auto" w:fill="auto"/>
          </w:tcPr>
          <w:p w:rsidR="00A066F1" w:rsidRPr="00AC6FC4" w:rsidRDefault="00A066F1" w:rsidP="006669BC">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368" w:type="dxa"/>
            <w:gridSpan w:val="2"/>
          </w:tcPr>
          <w:p w:rsidR="00A066F1" w:rsidRPr="00AC6FC4" w:rsidRDefault="00E55816" w:rsidP="006669BC">
            <w:pPr>
              <w:tabs>
                <w:tab w:val="left" w:pos="993"/>
              </w:tabs>
              <w:spacing w:before="0"/>
              <w:rPr>
                <w:rFonts w:ascii="Verdana" w:hAnsi="Verdana"/>
                <w:b/>
                <w:sz w:val="20"/>
              </w:rPr>
            </w:pPr>
            <w:r w:rsidRPr="00AC6FC4">
              <w:rPr>
                <w:rFonts w:ascii="Verdana" w:hAnsi="Verdana"/>
                <w:b/>
                <w:sz w:val="20"/>
              </w:rPr>
              <w:t>Original: Arabic</w:t>
            </w:r>
          </w:p>
        </w:tc>
      </w:tr>
      <w:tr w:rsidR="00A066F1" w:rsidRPr="00AC6FC4" w:rsidTr="006669BC">
        <w:trPr>
          <w:gridAfter w:val="1"/>
          <w:wAfter w:w="317" w:type="dxa"/>
          <w:cantSplit/>
          <w:trHeight w:val="23"/>
        </w:trPr>
        <w:tc>
          <w:tcPr>
            <w:tcW w:w="10031" w:type="dxa"/>
            <w:gridSpan w:val="3"/>
            <w:shd w:val="clear" w:color="auto" w:fill="auto"/>
          </w:tcPr>
          <w:p w:rsidR="00A066F1" w:rsidRPr="00AC6FC4" w:rsidRDefault="00A066F1" w:rsidP="006669BC">
            <w:pPr>
              <w:tabs>
                <w:tab w:val="left" w:pos="993"/>
              </w:tabs>
              <w:spacing w:before="0"/>
              <w:rPr>
                <w:rFonts w:ascii="Verdana" w:hAnsi="Verdana"/>
                <w:b/>
                <w:sz w:val="20"/>
              </w:rPr>
            </w:pPr>
            <w:bookmarkStart w:id="8" w:name="_GoBack"/>
            <w:bookmarkEnd w:id="8"/>
          </w:p>
        </w:tc>
      </w:tr>
      <w:tr w:rsidR="00E55816" w:rsidRPr="00AC6FC4" w:rsidTr="006669BC">
        <w:trPr>
          <w:gridAfter w:val="1"/>
          <w:wAfter w:w="317" w:type="dxa"/>
          <w:cantSplit/>
          <w:trHeight w:val="23"/>
        </w:trPr>
        <w:tc>
          <w:tcPr>
            <w:tcW w:w="10031" w:type="dxa"/>
            <w:gridSpan w:val="3"/>
            <w:shd w:val="clear" w:color="auto" w:fill="auto"/>
          </w:tcPr>
          <w:p w:rsidR="00E55816" w:rsidRPr="00AC6FC4" w:rsidRDefault="00884D60" w:rsidP="006669BC">
            <w:pPr>
              <w:pStyle w:val="Source"/>
            </w:pPr>
            <w:r w:rsidRPr="00AC6FC4">
              <w:t>Arab States Common Proposals</w:t>
            </w:r>
          </w:p>
        </w:tc>
      </w:tr>
      <w:tr w:rsidR="00E55816" w:rsidRPr="00AC6FC4" w:rsidTr="006669BC">
        <w:trPr>
          <w:gridAfter w:val="1"/>
          <w:wAfter w:w="317" w:type="dxa"/>
          <w:cantSplit/>
          <w:trHeight w:val="23"/>
        </w:trPr>
        <w:tc>
          <w:tcPr>
            <w:tcW w:w="10031" w:type="dxa"/>
            <w:gridSpan w:val="3"/>
            <w:shd w:val="clear" w:color="auto" w:fill="auto"/>
          </w:tcPr>
          <w:p w:rsidR="00E55816" w:rsidRPr="00AC6FC4" w:rsidRDefault="007D5320" w:rsidP="006669BC">
            <w:pPr>
              <w:pStyle w:val="Title1"/>
            </w:pPr>
            <w:r w:rsidRPr="00AC6FC4">
              <w:t>Proposals for the work of the conference</w:t>
            </w:r>
          </w:p>
        </w:tc>
      </w:tr>
      <w:tr w:rsidR="00E55816" w:rsidRPr="00AC6FC4" w:rsidTr="006669BC">
        <w:trPr>
          <w:gridAfter w:val="1"/>
          <w:wAfter w:w="317" w:type="dxa"/>
          <w:cantSplit/>
          <w:trHeight w:val="20"/>
        </w:trPr>
        <w:tc>
          <w:tcPr>
            <w:tcW w:w="10031" w:type="dxa"/>
            <w:gridSpan w:val="3"/>
            <w:shd w:val="clear" w:color="auto" w:fill="auto"/>
          </w:tcPr>
          <w:p w:rsidR="00E55816" w:rsidRPr="006669BC" w:rsidRDefault="00E55816" w:rsidP="006669BC">
            <w:pPr>
              <w:pStyle w:val="Title2"/>
              <w:rPr>
                <w:sz w:val="2"/>
                <w:szCs w:val="2"/>
              </w:rPr>
            </w:pPr>
          </w:p>
        </w:tc>
      </w:tr>
      <w:tr w:rsidR="00A538A6" w:rsidRPr="00AC6FC4" w:rsidTr="006669BC">
        <w:trPr>
          <w:gridAfter w:val="1"/>
          <w:wAfter w:w="317" w:type="dxa"/>
          <w:cantSplit/>
          <w:trHeight w:val="23"/>
        </w:trPr>
        <w:tc>
          <w:tcPr>
            <w:tcW w:w="10031" w:type="dxa"/>
            <w:gridSpan w:val="3"/>
            <w:shd w:val="clear" w:color="auto" w:fill="auto"/>
          </w:tcPr>
          <w:p w:rsidR="00A538A6" w:rsidRPr="00AC6FC4" w:rsidRDefault="004B13CB" w:rsidP="006669BC">
            <w:pPr>
              <w:pStyle w:val="Agendaitem"/>
              <w:rPr>
                <w:lang w:val="en-GB"/>
              </w:rPr>
            </w:pPr>
            <w:r w:rsidRPr="00AC6FC4">
              <w:rPr>
                <w:lang w:val="en-GB"/>
              </w:rPr>
              <w:t>Agenda item 1.2</w:t>
            </w:r>
          </w:p>
        </w:tc>
      </w:tr>
    </w:tbl>
    <w:bookmarkEnd w:id="6"/>
    <w:bookmarkEnd w:id="7"/>
    <w:p w:rsidR="005118F7" w:rsidRDefault="00017893" w:rsidP="00AC6FC4">
      <w:pPr>
        <w:overflowPunct/>
        <w:autoSpaceDE/>
        <w:autoSpaceDN/>
        <w:adjustRightInd/>
        <w:textAlignment w:val="auto"/>
      </w:pPr>
      <w:r w:rsidRPr="00AC6FC4">
        <w:t>1.2</w:t>
      </w:r>
      <w:r w:rsidRPr="00AC6FC4">
        <w:tab/>
        <w:t>to examine the results of ITU</w:t>
      </w:r>
      <w:r w:rsidRPr="00AC6FC4">
        <w:noBreakHyphen/>
        <w:t xml:space="preserve">R studies, in accordance with Resolution </w:t>
      </w:r>
      <w:r w:rsidRPr="00AC6FC4">
        <w:rPr>
          <w:b/>
          <w:bCs/>
        </w:rPr>
        <w:t>232 (WRC</w:t>
      </w:r>
      <w:r w:rsidRPr="00AC6FC4">
        <w:rPr>
          <w:b/>
          <w:bCs/>
        </w:rPr>
        <w:noBreakHyphen/>
        <w:t>12)</w:t>
      </w:r>
      <w:r w:rsidRPr="00AC6FC4">
        <w:t>, on the use of the frequency band 694-790 MHz by the mobile, except aeronautical mobile, service in Region 1 and take the appropriate measures;</w:t>
      </w:r>
    </w:p>
    <w:p w:rsidR="006669BC" w:rsidRPr="00AC6FC4" w:rsidRDefault="006669BC" w:rsidP="006669BC">
      <w:pPr>
        <w:pStyle w:val="Title3"/>
        <w:spacing w:before="120"/>
      </w:pPr>
      <w:r>
        <w:t>Issue B</w:t>
      </w:r>
    </w:p>
    <w:p w:rsidR="00017893" w:rsidRPr="003E5222" w:rsidRDefault="00AC6FC4" w:rsidP="006669BC">
      <w:pPr>
        <w:pStyle w:val="Headingb"/>
        <w:rPr>
          <w:lang w:val="en-US"/>
        </w:rPr>
      </w:pPr>
      <w:r w:rsidRPr="003E5222">
        <w:rPr>
          <w:lang w:val="en-US"/>
        </w:rPr>
        <w:t>Introduction</w:t>
      </w:r>
    </w:p>
    <w:p w:rsidR="00AC6FC4" w:rsidRPr="00AC6FC4" w:rsidRDefault="00AC6FC4" w:rsidP="00AC6FC4">
      <w:r w:rsidRPr="00AC6FC4">
        <w:t>This agenda item seeks to study the requirements of the mobile service and broadcasting service in the frequency spectrum below 790 MHz and to study the channel arrangements for the appropriate mobile service in this band, with due regard to compatibility with other primary services to which this band and adjacent bands are allocated.</w:t>
      </w:r>
    </w:p>
    <w:p w:rsidR="00017893" w:rsidRPr="003E5222" w:rsidRDefault="00AC6FC4" w:rsidP="006669BC">
      <w:pPr>
        <w:pStyle w:val="Headingb"/>
        <w:rPr>
          <w:lang w:val="en-US"/>
        </w:rPr>
      </w:pPr>
      <w:r w:rsidRPr="003E5222">
        <w:rPr>
          <w:lang w:val="en-US"/>
        </w:rPr>
        <w:t>Proposal</w:t>
      </w:r>
      <w:r w:rsidR="00FD0D94" w:rsidRPr="003E5222">
        <w:rPr>
          <w:lang w:val="en-US"/>
        </w:rPr>
        <w:t>s</w:t>
      </w:r>
    </w:p>
    <w:p w:rsidR="00017893" w:rsidRPr="00AC6FC4" w:rsidRDefault="00AC6FC4" w:rsidP="00AC6FC4">
      <w:r w:rsidRPr="00AC6FC4">
        <w:t>Pursuant to the results of ITU-R studies on Issue B, the Arab States administrations propose the following:</w:t>
      </w:r>
    </w:p>
    <w:p w:rsidR="00017893" w:rsidRPr="00AC6FC4" w:rsidRDefault="00017893" w:rsidP="00AC6FC4">
      <w:pPr>
        <w:pStyle w:val="enumlev1"/>
      </w:pPr>
      <w:r w:rsidRPr="00AC6FC4">
        <w:t>−</w:t>
      </w:r>
      <w:r w:rsidRPr="00AC6FC4">
        <w:tab/>
      </w:r>
      <w:r w:rsidR="00AC6FC4" w:rsidRPr="00AC6FC4">
        <w:rPr>
          <w:szCs w:val="24"/>
        </w:rPr>
        <w:t>No change to the Radio Regulations, given that the GE06 Agreement contains the provisions necessary to protect the broadcasting service in neighbouring countries.</w:t>
      </w:r>
    </w:p>
    <w:p w:rsidR="00017893" w:rsidRPr="00AC6FC4" w:rsidRDefault="00017893" w:rsidP="00AC6FC4">
      <w:pPr>
        <w:pStyle w:val="enumlev1"/>
      </w:pPr>
      <w:r w:rsidRPr="00AC6FC4">
        <w:t>−</w:t>
      </w:r>
      <w:r w:rsidRPr="00AC6FC4">
        <w:tab/>
        <w:t xml:space="preserve">Administrations may take measures to provide a set of technical conditions applicable to IMT UE to protect </w:t>
      </w:r>
      <w:r w:rsidRPr="00AC6FC4">
        <w:rPr>
          <w:iCs/>
        </w:rPr>
        <w:t xml:space="preserve">the </w:t>
      </w:r>
      <w:r w:rsidRPr="00AC6FC4">
        <w:t>BS below 694 MHz, on a local, national or regional basis.</w:t>
      </w:r>
    </w:p>
    <w:p w:rsidR="00034DE3" w:rsidRPr="00AC6FC4" w:rsidRDefault="00017893" w:rsidP="00AC6FC4">
      <w:pPr>
        <w:pStyle w:val="Proposal"/>
      </w:pPr>
      <w:r w:rsidRPr="001C682A">
        <w:rPr>
          <w:u w:val="single"/>
        </w:rPr>
        <w:t>NOC</w:t>
      </w:r>
      <w:r w:rsidRPr="00AC6FC4">
        <w:tab/>
        <w:t>ARB/25A2A2/1</w:t>
      </w:r>
    </w:p>
    <w:p w:rsidR="001C682A" w:rsidRPr="00AC6FC4" w:rsidRDefault="001C682A" w:rsidP="001C682A">
      <w:pPr>
        <w:pStyle w:val="Volumetitle"/>
      </w:pPr>
      <w:r w:rsidRPr="00AC6FC4">
        <w:t>Radio Regulations</w:t>
      </w:r>
    </w:p>
    <w:p w:rsidR="00034DE3" w:rsidRPr="00AC6FC4" w:rsidRDefault="00017893" w:rsidP="00AC6FC4">
      <w:pPr>
        <w:pStyle w:val="Reasons"/>
      </w:pPr>
      <w:r w:rsidRPr="00AC6FC4">
        <w:rPr>
          <w:b/>
        </w:rPr>
        <w:t>Reasons:</w:t>
      </w:r>
      <w:r w:rsidRPr="00AC6FC4">
        <w:tab/>
        <w:t>The protection of the BS below 694 MHz from the MS can be ensured through applying the technical and regulatory provisions of the GE06 Agreement. Case studies of interference have shown that the single-entry coordination threshold (i.e. GE06 trigger) is sufficient to protect the BS from cumulative interference. A new recommendation may be developed, as appropriate, to specify the OOBE limits of the IMT UE below 694 MHz</w:t>
      </w:r>
      <w:r w:rsidR="00AC6FC4">
        <w:t>.</w:t>
      </w:r>
      <w:r w:rsidRPr="00AC6FC4">
        <w:t xml:space="preserve"> Accordingly, this method should be adopted in WRC-15.</w:t>
      </w:r>
    </w:p>
    <w:p w:rsidR="00017893" w:rsidRPr="006669BC" w:rsidRDefault="00017893" w:rsidP="00AC6FC4">
      <w:pPr>
        <w:pStyle w:val="Reasons"/>
        <w:spacing w:before="0" w:line="40" w:lineRule="exact"/>
        <w:rPr>
          <w:sz w:val="2"/>
          <w:szCs w:val="2"/>
        </w:rPr>
      </w:pPr>
    </w:p>
    <w:p w:rsidR="00017893" w:rsidRPr="00AC6FC4" w:rsidRDefault="00017893" w:rsidP="006669BC">
      <w:pPr>
        <w:spacing w:before="0"/>
        <w:jc w:val="center"/>
      </w:pPr>
      <w:r w:rsidRPr="00AC6FC4">
        <w:t>______________</w:t>
      </w:r>
    </w:p>
    <w:sectPr w:rsidR="00017893" w:rsidRPr="00AC6FC4"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A5C8A">
      <w:rPr>
        <w:noProof/>
      </w:rPr>
      <w:t>12.10.15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93" w:rsidRPr="0041348E" w:rsidRDefault="00017893" w:rsidP="00017893">
    <w:pPr>
      <w:pStyle w:val="Footer"/>
      <w:rPr>
        <w:lang w:val="en-US"/>
      </w:rPr>
    </w:pPr>
    <w:r>
      <w:fldChar w:fldCharType="begin"/>
    </w:r>
    <w:r w:rsidRPr="0041348E">
      <w:rPr>
        <w:lang w:val="en-US"/>
      </w:rPr>
      <w:instrText xml:space="preserve"> FILENAME \p  \* MERGEFORMAT </w:instrText>
    </w:r>
    <w:r>
      <w:fldChar w:fldCharType="separate"/>
    </w:r>
    <w:r>
      <w:rPr>
        <w:lang w:val="en-US"/>
      </w:rPr>
      <w:t>P:\TRAD\E\ITU-R\CONF-R\CMR15\000\025ADD02ADD02E.docx</w:t>
    </w:r>
    <w:r>
      <w:fldChar w:fldCharType="end"/>
    </w:r>
    <w:r>
      <w:rPr>
        <w:lang w:val="ru-RU"/>
      </w:rPr>
      <w:t xml:space="preserve"> (386850)</w:t>
    </w:r>
    <w:r w:rsidRPr="0041348E">
      <w:rPr>
        <w:lang w:val="en-US"/>
      </w:rPr>
      <w:tab/>
    </w:r>
    <w:r>
      <w:fldChar w:fldCharType="begin"/>
    </w:r>
    <w:r>
      <w:instrText xml:space="preserve"> SAVEDATE \@ DD.MM.YY </w:instrText>
    </w:r>
    <w:r>
      <w:fldChar w:fldCharType="separate"/>
    </w:r>
    <w:r w:rsidR="000A5C8A">
      <w:t>12.10.15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669BC">
      <w:rPr>
        <w:lang w:val="en-US"/>
      </w:rPr>
      <w:t>P:\ENG\ITU-R\CONF-R\CMR15\000\025ADD02ADD02REV1E.docx</w:t>
    </w:r>
    <w:r>
      <w:fldChar w:fldCharType="end"/>
    </w:r>
    <w:r w:rsidR="000A5C8A">
      <w:rPr>
        <w:lang w:val="en-US"/>
      </w:rPr>
      <w:t xml:space="preserve"> (387979</w:t>
    </w:r>
    <w:r w:rsidR="00017893" w:rsidRPr="006669BC">
      <w:rPr>
        <w:lang w:val="en-US"/>
      </w:rPr>
      <w:t>)</w:t>
    </w:r>
    <w:r w:rsidRPr="0041348E">
      <w:rPr>
        <w:lang w:val="en-US"/>
      </w:rPr>
      <w:tab/>
    </w:r>
    <w:r>
      <w:fldChar w:fldCharType="begin"/>
    </w:r>
    <w:r>
      <w:instrText xml:space="preserve"> SAVEDATE \@ DD.MM.YY </w:instrText>
    </w:r>
    <w:r>
      <w:fldChar w:fldCharType="separate"/>
    </w:r>
    <w:r w:rsidR="000A5C8A">
      <w:t>12.10.15</w:t>
    </w:r>
    <w:r>
      <w:fldChar w:fldCharType="end"/>
    </w:r>
    <w:r w:rsidRPr="0041348E">
      <w:rPr>
        <w:lang w:val="en-US"/>
      </w:rPr>
      <w:tab/>
    </w:r>
    <w:r>
      <w:fldChar w:fldCharType="begin"/>
    </w:r>
    <w:r>
      <w:instrText xml:space="preserve"> PRINTDATE \@ DD.MM.YY </w:instrText>
    </w:r>
    <w:r>
      <w:fldChar w:fldCharType="separate"/>
    </w:r>
    <w:r w:rsidR="006669BC">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669BC">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25(Add.2)(Add.2)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7893"/>
    <w:rsid w:val="00022A29"/>
    <w:rsid w:val="00034DE3"/>
    <w:rsid w:val="000355FD"/>
    <w:rsid w:val="00051E39"/>
    <w:rsid w:val="000705F2"/>
    <w:rsid w:val="00077239"/>
    <w:rsid w:val="00086491"/>
    <w:rsid w:val="00091346"/>
    <w:rsid w:val="0009706C"/>
    <w:rsid w:val="000A5C8A"/>
    <w:rsid w:val="000D154B"/>
    <w:rsid w:val="000F73FF"/>
    <w:rsid w:val="00114CF7"/>
    <w:rsid w:val="00123B68"/>
    <w:rsid w:val="00126F2E"/>
    <w:rsid w:val="00146F6F"/>
    <w:rsid w:val="00187BD9"/>
    <w:rsid w:val="00190B55"/>
    <w:rsid w:val="001C3B5F"/>
    <w:rsid w:val="001C682A"/>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E5222"/>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69BC"/>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5167"/>
    <w:rsid w:val="009274B4"/>
    <w:rsid w:val="00934EA2"/>
    <w:rsid w:val="00944A5C"/>
    <w:rsid w:val="00952A66"/>
    <w:rsid w:val="009A324B"/>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6FC4"/>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0D9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D2B4A5-4C14-47FA-8781-C9D27AD2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89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R15-WRC15-C-0025!A2-A2!MSW-E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4236-A852-49A0-A1C4-474D6A45EA1F}">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elements/1.1/"/>
    <ds:schemaRef ds:uri="996b2e75-67fd-4955-a3b0-5ab9934cb50b"/>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3A37B4-332D-43BD-91A4-7177836B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1</Pages>
  <Words>287</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R15-WRC15-C-0025!A2-A2!MSW-E</vt:lpstr>
    </vt:vector>
  </TitlesOfParts>
  <Manager>General Secretariat - Pool</Manager>
  <Company>International Telecommunication Union (ITU)</Company>
  <LinksUpToDate>false</LinksUpToDate>
  <CharactersWithSpaces>1885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R15-WRC15-C-0025!A2-A2!MSW-E</dc:title>
  <dc:subject>World Radiocommunication Conference - 2015</dc:subject>
  <dc:creator>Documents Proposals Manager (DPM)</dc:creator>
  <cp:keywords>DPM_v5.2015.9.9_prod</cp:keywords>
  <dc:description>Uploaded on 2015.07.06</dc:description>
  <cp:lastModifiedBy>Neal, Sharon</cp:lastModifiedBy>
  <cp:revision>4</cp:revision>
  <cp:lastPrinted>2014-02-10T09:49:00Z</cp:lastPrinted>
  <dcterms:created xsi:type="dcterms:W3CDTF">2015-10-12T07:37:00Z</dcterms:created>
  <dcterms:modified xsi:type="dcterms:W3CDTF">2015-10-13T12:41:00Z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