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A24C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100002" w:rsidRDefault="00280E04" w:rsidP="00A24C48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RPr="00F559A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559A8" w:rsidRDefault="00E165ED" w:rsidP="00A24C4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28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F559A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559A8" w:rsidRDefault="003E1608" w:rsidP="00A24C48">
            <w:pPr>
              <w:pStyle w:val="Adress"/>
              <w:framePr w:hSpace="0" w:wrap="auto" w:xAlign="left" w:yAlign="inline"/>
              <w:spacing w:before="0" w:line="280" w:lineRule="exact"/>
              <w:rPr>
                <w:rFonts w:ascii="Verdana" w:hAnsi="Verdana"/>
                <w:rtl/>
              </w:rPr>
            </w:pPr>
            <w:r w:rsidRPr="00F559A8">
              <w:rPr>
                <w:rFonts w:ascii="Verdana" w:hAnsi="Verdana"/>
                <w:rtl/>
              </w:rPr>
              <w:t xml:space="preserve">الإضافة </w:t>
            </w:r>
            <w:r w:rsidRPr="00F559A8">
              <w:rPr>
                <w:rFonts w:ascii="Verdana" w:hAnsi="Verdana"/>
              </w:rPr>
              <w:t>9</w:t>
            </w:r>
            <w:r w:rsidRPr="00F559A8">
              <w:rPr>
                <w:rFonts w:ascii="Verdana" w:hAnsi="Verdana"/>
              </w:rPr>
              <w:br/>
            </w:r>
            <w:r w:rsidRPr="00F559A8">
              <w:rPr>
                <w:rFonts w:ascii="Verdana" w:hAnsi="Verdana"/>
                <w:rtl/>
              </w:rPr>
              <w:t xml:space="preserve">للوثيقة </w:t>
            </w:r>
            <w:r w:rsidRPr="00F559A8">
              <w:rPr>
                <w:rFonts w:ascii="Verdana" w:hAnsi="Verdana"/>
              </w:rPr>
              <w:t>25(Add.19</w:t>
            </w:r>
            <w:r w:rsidR="00100002" w:rsidRPr="00F559A8">
              <w:rPr>
                <w:rFonts w:ascii="Verdana" w:hAnsi="Verdana"/>
              </w:rPr>
              <w:t>)-A</w:t>
            </w:r>
          </w:p>
        </w:tc>
      </w:tr>
      <w:tr w:rsidR="00764079" w:rsidRPr="00F559A8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559A8" w:rsidRDefault="00764079" w:rsidP="00A24C48">
            <w:pPr>
              <w:pStyle w:val="Adress"/>
              <w:framePr w:hSpace="0" w:wrap="auto" w:xAlign="left" w:yAlign="inline"/>
              <w:spacing w:before="0" w:line="280" w:lineRule="exact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559A8" w:rsidRDefault="00764079" w:rsidP="00A24C48">
            <w:pPr>
              <w:pStyle w:val="Adress"/>
              <w:framePr w:hSpace="0" w:wrap="auto" w:xAlign="left" w:yAlign="inline"/>
              <w:spacing w:before="0" w:line="280" w:lineRule="exact"/>
              <w:rPr>
                <w:rFonts w:ascii="Verdana" w:hAnsi="Verdana"/>
                <w:rtl/>
              </w:rPr>
            </w:pPr>
            <w:r w:rsidRPr="00F559A8">
              <w:rPr>
                <w:rFonts w:ascii="Verdana" w:eastAsia="SimSun" w:hAnsi="Verdana"/>
              </w:rPr>
              <w:t>10</w:t>
            </w:r>
            <w:r w:rsidRPr="00F559A8">
              <w:rPr>
                <w:rFonts w:ascii="Verdana" w:eastAsia="SimSun" w:hAnsi="Verdana"/>
                <w:rtl/>
              </w:rPr>
              <w:t xml:space="preserve"> سبتمبر </w:t>
            </w:r>
            <w:r w:rsidRPr="00F559A8">
              <w:rPr>
                <w:rFonts w:ascii="Verdana" w:eastAsia="SimSun" w:hAnsi="Verdana"/>
              </w:rPr>
              <w:t>2015</w:t>
            </w:r>
          </w:p>
        </w:tc>
      </w:tr>
      <w:tr w:rsidR="00764079" w:rsidRPr="00F559A8" w:rsidTr="003E1608">
        <w:trPr>
          <w:cantSplit/>
        </w:trPr>
        <w:tc>
          <w:tcPr>
            <w:tcW w:w="6619" w:type="dxa"/>
          </w:tcPr>
          <w:p w:rsidR="00764079" w:rsidRPr="00F559A8" w:rsidRDefault="00764079" w:rsidP="00A24C48">
            <w:pPr>
              <w:pStyle w:val="Adress"/>
              <w:framePr w:hSpace="0" w:wrap="auto" w:xAlign="left" w:yAlign="inline"/>
              <w:spacing w:before="0" w:line="280" w:lineRule="exact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559A8" w:rsidRDefault="00764079" w:rsidP="00A24C48">
            <w:pPr>
              <w:pStyle w:val="Adress"/>
              <w:framePr w:hSpace="0" w:wrap="auto" w:xAlign="left" w:yAlign="inline"/>
              <w:spacing w:before="0" w:line="280" w:lineRule="exact"/>
              <w:rPr>
                <w:rFonts w:ascii="Verdana" w:eastAsia="SimSun" w:hAnsi="Verdana"/>
              </w:rPr>
            </w:pPr>
            <w:r w:rsidRPr="00F559A8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5187F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Fonts w:ascii="Calibri" w:eastAsia="SimSun" w:hAnsi="Calibri"/>
                <w:rtl/>
              </w:rPr>
              <w:t>مقترحات بشأن أعمال ال</w:t>
            </w:r>
            <w:r w:rsidR="00E1713E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مؤت</w:t>
            </w:r>
            <w:r w:rsidR="00E1713E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900CD">
            <w:pPr>
              <w:pStyle w:val="Title2"/>
              <w:spacing w:before="12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24C48">
            <w:pPr>
              <w:pStyle w:val="Agendaitem"/>
              <w:spacing w:line="192" w:lineRule="auto"/>
            </w:pPr>
            <w:r w:rsidRPr="008204AC">
              <w:rPr>
                <w:rtl/>
              </w:rPr>
              <w:t xml:space="preserve">البنـد </w:t>
            </w:r>
            <w:r w:rsidR="00100002" w:rsidRPr="00431196">
              <w:rPr>
                <w:rFonts w:eastAsia="SimSun"/>
              </w:rPr>
              <w:t>(I)7</w:t>
            </w:r>
            <w:r w:rsidR="00100002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E22707" w:rsidRDefault="00667D50" w:rsidP="00993D10">
      <w:pPr>
        <w:pStyle w:val="Normalaftertitle"/>
        <w:rPr>
          <w:rFonts w:eastAsia="SimSun"/>
          <w:rtl/>
        </w:rPr>
      </w:pPr>
      <w:r w:rsidRPr="00E22707">
        <w:rPr>
          <w:rFonts w:eastAsia="SimSun"/>
        </w:rPr>
        <w:t>7</w:t>
      </w:r>
      <w:r w:rsidRPr="00E22707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E22707">
        <w:rPr>
          <w:rFonts w:eastAsia="SimSun"/>
        </w:rPr>
        <w:t>86</w:t>
      </w:r>
      <w:r w:rsidRPr="00E22707">
        <w:rPr>
          <w:rFonts w:eastAsia="SimSun" w:hint="cs"/>
          <w:rtl/>
        </w:rPr>
        <w:t xml:space="preserve"> (المراج</w:t>
      </w:r>
      <w:r w:rsidR="00E22707" w:rsidRPr="00E22707">
        <w:rPr>
          <w:rFonts w:eastAsia="SimSun" w:hint="cs"/>
          <w:rtl/>
        </w:rPr>
        <w:t>َ</w:t>
      </w:r>
      <w:r w:rsidRPr="00E22707">
        <w:rPr>
          <w:rFonts w:eastAsia="SimSun" w:hint="cs"/>
          <w:rtl/>
        </w:rPr>
        <w:t xml:space="preserve">ع في مراكش، </w:t>
      </w:r>
      <w:r w:rsidRPr="00E22707">
        <w:rPr>
          <w:rFonts w:eastAsia="SimSun"/>
        </w:rPr>
        <w:t>(2002</w:t>
      </w:r>
      <w:r w:rsidRPr="00E22707">
        <w:rPr>
          <w:rFonts w:eastAsia="SimSun" w:hint="cs"/>
          <w:rtl/>
        </w:rPr>
        <w:t xml:space="preserve"> لمؤتمر</w:t>
      </w:r>
      <w:r w:rsidR="00A10DAF">
        <w:rPr>
          <w:rFonts w:eastAsia="SimSun" w:hint="eastAsia"/>
          <w:rtl/>
        </w:rPr>
        <w:t> </w:t>
      </w:r>
      <w:r w:rsidRPr="00E22707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E22707">
        <w:rPr>
          <w:rFonts w:eastAsia="SimSun" w:hint="cs"/>
          <w:rtl/>
          <w:lang w:bidi="ar-SY"/>
        </w:rPr>
        <w:t>والتبليغ</w:t>
      </w:r>
      <w:r w:rsidRPr="00E22707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E22707" w:rsidRPr="00E22707">
        <w:rPr>
          <w:rFonts w:eastAsia="SimSun" w:hint="eastAsia"/>
          <w:rtl/>
        </w:rPr>
        <w:t> </w:t>
      </w:r>
      <w:r w:rsidRPr="00E22707">
        <w:rPr>
          <w:rFonts w:eastAsia="SimSun"/>
          <w:b/>
          <w:bCs/>
        </w:rPr>
        <w:t>86 (Rev.WRC</w:t>
      </w:r>
      <w:r w:rsidRPr="00E22707">
        <w:rPr>
          <w:rFonts w:eastAsia="SimSun"/>
          <w:b/>
          <w:bCs/>
        </w:rPr>
        <w:noBreakHyphen/>
        <w:t>07)</w:t>
      </w:r>
      <w:r w:rsidRPr="00E22707">
        <w:rPr>
          <w:rFonts w:eastAsia="SimSun" w:hint="cs"/>
          <w:rtl/>
        </w:rPr>
        <w:t xml:space="preserve"> تيسيراً للاستخدام الرشيد والفع</w:t>
      </w:r>
      <w:r w:rsidR="00E22707" w:rsidRPr="00E22707">
        <w:rPr>
          <w:rFonts w:eastAsia="SimSun" w:hint="cs"/>
          <w:rtl/>
        </w:rPr>
        <w:t>ّ</w:t>
      </w:r>
      <w:r w:rsidRPr="00E22707">
        <w:rPr>
          <w:rFonts w:eastAsia="SimSun" w:hint="cs"/>
          <w:rtl/>
        </w:rPr>
        <w:t>ال والاقتصادي للترددات الراديوية وأي مدارات مرتبطة بها، بما</w:t>
      </w:r>
      <w:r w:rsidR="00E22707">
        <w:rPr>
          <w:rFonts w:eastAsia="SimSun" w:hint="eastAsia"/>
          <w:rtl/>
        </w:rPr>
        <w:t> </w:t>
      </w:r>
      <w:r w:rsidRPr="00E22707">
        <w:rPr>
          <w:rFonts w:eastAsia="SimSun" w:hint="cs"/>
          <w:rtl/>
        </w:rPr>
        <w:t>فيها مدار السواتل المستقرة بالنسبة إلى الأرض؛</w:t>
      </w:r>
    </w:p>
    <w:p w:rsidR="001D597A" w:rsidRDefault="00667D50" w:rsidP="00C2775E">
      <w:pPr>
        <w:rPr>
          <w:rFonts w:eastAsia="SimSun"/>
          <w:rtl/>
        </w:rPr>
      </w:pPr>
      <w:r w:rsidRPr="00431196">
        <w:rPr>
          <w:rFonts w:eastAsia="SimSun"/>
        </w:rPr>
        <w:t>(I)7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I</w:t>
      </w:r>
      <w:r w:rsidRPr="00431196">
        <w:rPr>
          <w:rFonts w:eastAsia="SimSun" w:hint="cs"/>
          <w:rtl/>
        </w:rPr>
        <w:t xml:space="preserve"> - أسلوب ممكن للتخفيف من وطأة مسألة العدد المفرط لبطاقات التبليغ عن الشبكات الساتلية</w:t>
      </w:r>
    </w:p>
    <w:p w:rsidR="00A24C48" w:rsidRPr="00993D10" w:rsidRDefault="00A24C48" w:rsidP="00A24C48">
      <w:pPr>
        <w:spacing w:before="0"/>
        <w:rPr>
          <w:rFonts w:eastAsia="SimSun"/>
          <w:sz w:val="6"/>
          <w:szCs w:val="14"/>
          <w:rtl/>
        </w:rPr>
      </w:pPr>
    </w:p>
    <w:p w:rsidR="000825B5" w:rsidRDefault="000825B5" w:rsidP="00A24C48">
      <w:pPr>
        <w:pStyle w:val="Headingb"/>
        <w:spacing w:before="0"/>
        <w:rPr>
          <w:rFonts w:hint="cs"/>
          <w:rtl/>
        </w:rPr>
      </w:pPr>
      <w:r>
        <w:rPr>
          <w:rFonts w:hint="cs"/>
          <w:rtl/>
        </w:rPr>
        <w:t>مقدمة</w:t>
      </w:r>
    </w:p>
    <w:p w:rsidR="0085187F" w:rsidRDefault="0085187F" w:rsidP="00A24C48">
      <w:pPr>
        <w:rPr>
          <w:spacing w:val="-4"/>
          <w:lang w:bidi="ar-OM"/>
        </w:rPr>
      </w:pPr>
      <w:r>
        <w:rPr>
          <w:rFonts w:hint="cs"/>
          <w:spacing w:val="-2"/>
          <w:rtl/>
        </w:rPr>
        <w:t xml:space="preserve">بناء على نتائج دراسات قطاع الاتصالات الراديوية بشأن هذه المسألة والتي تم تناولها من خلال </w:t>
      </w:r>
      <w:r w:rsidRPr="000A6E28">
        <w:rPr>
          <w:spacing w:val="-2"/>
          <w:rtl/>
          <w:lang w:bidi="ar-EG"/>
        </w:rPr>
        <w:t>منظورين، أولهما يتطرق إلى العدد المفرط من بطاقات التبليغ خلال مرحلة طلبات التنسيق</w:t>
      </w:r>
      <w:r>
        <w:rPr>
          <w:rFonts w:hint="cs"/>
          <w:spacing w:val="-2"/>
          <w:rtl/>
          <w:lang w:bidi="ar-OM"/>
        </w:rPr>
        <w:t xml:space="preserve">، </w:t>
      </w:r>
      <w:r w:rsidRPr="000A6E28">
        <w:rPr>
          <w:spacing w:val="-2"/>
          <w:rtl/>
          <w:lang w:bidi="ar-EG"/>
        </w:rPr>
        <w:t xml:space="preserve">وثانيهما يتناول العدد المفرط من بطاقات التبليغ خلال مرحلة معلومات النشر المسبق </w:t>
      </w:r>
      <w:r w:rsidRPr="000A6E28">
        <w:rPr>
          <w:spacing w:val="-2"/>
          <w:lang w:bidi="ar-EG"/>
        </w:rPr>
        <w:t>(API)</w:t>
      </w:r>
      <w:r>
        <w:rPr>
          <w:rFonts w:hint="cs"/>
          <w:spacing w:val="-2"/>
          <w:rtl/>
          <w:lang w:bidi="ar-EG"/>
        </w:rPr>
        <w:t xml:space="preserve">. وبالنسبة للمنظور الأخير تمت معالجته من خلال المسألة </w:t>
      </w:r>
      <w:r>
        <w:rPr>
          <w:spacing w:val="-2"/>
          <w:lang w:bidi="ar-EG"/>
        </w:rPr>
        <w:t>7</w:t>
      </w:r>
      <w:r>
        <w:rPr>
          <w:rFonts w:hint="cs"/>
          <w:spacing w:val="-2"/>
          <w:rtl/>
          <w:lang w:bidi="ar-OM"/>
        </w:rPr>
        <w:t>(</w:t>
      </w:r>
      <w:r>
        <w:rPr>
          <w:spacing w:val="-2"/>
          <w:lang w:bidi="ar-OM"/>
        </w:rPr>
        <w:t>C</w:t>
      </w:r>
      <w:r>
        <w:rPr>
          <w:rFonts w:hint="cs"/>
          <w:spacing w:val="-2"/>
          <w:rtl/>
          <w:lang w:bidi="ar-OM"/>
        </w:rPr>
        <w:t xml:space="preserve">) حيث أيدت </w:t>
      </w:r>
      <w:r>
        <w:rPr>
          <w:rFonts w:hint="cs"/>
          <w:rtl/>
        </w:rPr>
        <w:t xml:space="preserve">إدارات الدول العربية </w:t>
      </w:r>
      <w:r w:rsidRPr="00457A52">
        <w:rPr>
          <w:rFonts w:hint="cs"/>
          <w:rtl/>
          <w:lang w:bidi="ar"/>
        </w:rPr>
        <w:t>إلغاء فترة الأشهر الستة</w:t>
      </w:r>
      <w:r>
        <w:rPr>
          <w:rFonts w:hint="cs"/>
          <w:rtl/>
          <w:lang w:bidi="ar"/>
        </w:rPr>
        <w:t xml:space="preserve"> الفاصلة بين تاريخ استلام معلومات النشر المسبق وتاريخ إمكانية قبول استلام طلب التنسيق المرتبط بها</w:t>
      </w:r>
      <w:r>
        <w:rPr>
          <w:rFonts w:hint="cs"/>
          <w:spacing w:val="-4"/>
          <w:rtl/>
          <w:lang w:bidi="ar-OM"/>
        </w:rPr>
        <w:t>، وعلى النحو الموضح في الوثيقة ذات الصلة.</w:t>
      </w:r>
    </w:p>
    <w:p w:rsidR="0085187F" w:rsidRPr="000A6E28" w:rsidRDefault="0085187F" w:rsidP="00E22707">
      <w:pPr>
        <w:rPr>
          <w:b/>
          <w:bCs/>
        </w:rPr>
      </w:pPr>
      <w:r w:rsidRPr="000A6E28">
        <w:rPr>
          <w:spacing w:val="-4"/>
          <w:rtl/>
        </w:rPr>
        <w:t>وفيما يتعلق بالعدد المفرط من بطاقات التبليغ خلال مرحلة طلبات التنسيق</w:t>
      </w:r>
      <w:r>
        <w:rPr>
          <w:rFonts w:hint="cs"/>
          <w:spacing w:val="-4"/>
          <w:rtl/>
        </w:rPr>
        <w:t xml:space="preserve"> </w:t>
      </w:r>
      <w:r>
        <w:rPr>
          <w:spacing w:val="-4"/>
        </w:rPr>
        <w:t>(CR/C)</w:t>
      </w:r>
      <w:r w:rsidRPr="000A6E28">
        <w:rPr>
          <w:spacing w:val="-4"/>
          <w:rtl/>
        </w:rPr>
        <w:t xml:space="preserve">، </w:t>
      </w:r>
      <w:r>
        <w:rPr>
          <w:rFonts w:hint="cs"/>
          <w:spacing w:val="-4"/>
          <w:rtl/>
        </w:rPr>
        <w:t xml:space="preserve">فإن هذه </w:t>
      </w:r>
      <w:r w:rsidR="005956CA">
        <w:rPr>
          <w:rFonts w:hint="cs"/>
          <w:spacing w:val="-4"/>
          <w:rtl/>
        </w:rPr>
        <w:t>الإ</w:t>
      </w:r>
      <w:r>
        <w:rPr>
          <w:rFonts w:hint="cs"/>
          <w:spacing w:val="-4"/>
          <w:rtl/>
        </w:rPr>
        <w:t xml:space="preserve">دارات تقترح </w:t>
      </w:r>
      <w:r w:rsidRPr="000A6E28">
        <w:rPr>
          <w:rtl/>
        </w:rPr>
        <w:t>عدم إدخال أي تغيير</w:t>
      </w:r>
      <w:r w:rsidR="00E22707">
        <w:rPr>
          <w:rFonts w:hint="cs"/>
          <w:rtl/>
        </w:rPr>
        <w:t> </w:t>
      </w:r>
      <w:r w:rsidRPr="000A6E28">
        <w:t>(NOC)</w:t>
      </w:r>
      <w:r w:rsidRPr="000A6E28">
        <w:rPr>
          <w:rtl/>
        </w:rPr>
        <w:t xml:space="preserve"> على لوائح الراديو.</w:t>
      </w:r>
      <w:bookmarkStart w:id="1" w:name="_GoBack"/>
      <w:bookmarkEnd w:id="1"/>
    </w:p>
    <w:p w:rsidR="002919E1" w:rsidRPr="002919E1" w:rsidRDefault="00766BF1" w:rsidP="00A24C48">
      <w:pPr>
        <w:pStyle w:val="Headingb"/>
        <w:keepNext w:val="0"/>
        <w:rPr>
          <w:noProof/>
          <w:rtl/>
        </w:rPr>
      </w:pPr>
      <w:r>
        <w:rPr>
          <w:rFonts w:hint="cs"/>
          <w:noProof/>
          <w:rtl/>
        </w:rPr>
        <w:t>المقترح</w:t>
      </w:r>
    </w:p>
    <w:p w:rsidR="00535CC9" w:rsidRDefault="00667D50">
      <w:pPr>
        <w:pStyle w:val="Proposal"/>
        <w:rPr>
          <w:rFonts w:hint="cs"/>
          <w:rtl/>
        </w:rPr>
      </w:pPr>
      <w:r>
        <w:rPr>
          <w:u w:val="single"/>
        </w:rPr>
        <w:t>NOC</w:t>
      </w:r>
      <w:r>
        <w:tab/>
        <w:t>ARB/25A19A9/1</w:t>
      </w:r>
    </w:p>
    <w:p w:rsidR="00667D50" w:rsidRDefault="00667D50" w:rsidP="001900CD">
      <w:pPr>
        <w:pStyle w:val="Volumetitle"/>
        <w:rPr>
          <w:rtl/>
        </w:rPr>
      </w:pPr>
      <w:r>
        <w:rPr>
          <w:rFonts w:hint="cs"/>
          <w:rtl/>
        </w:rPr>
        <w:t>لوائح الراديو</w:t>
      </w:r>
    </w:p>
    <w:p w:rsidR="00A24C48" w:rsidRPr="00993D10" w:rsidRDefault="00A24C48" w:rsidP="00A24C48">
      <w:pPr>
        <w:pStyle w:val="Reasons"/>
        <w:spacing w:before="0"/>
        <w:rPr>
          <w:b w:val="0"/>
          <w:bCs w:val="0"/>
          <w:sz w:val="10"/>
          <w:szCs w:val="18"/>
          <w:lang w:bidi="ar-EG"/>
        </w:rPr>
      </w:pPr>
    </w:p>
    <w:p w:rsidR="00535CC9" w:rsidRDefault="0042029B" w:rsidP="0042029B">
      <w:pPr>
        <w:spacing w:before="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35CC9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3625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8011B">
      <w:rPr>
        <w:noProof/>
        <w:lang w:val="es-ES"/>
      </w:rPr>
      <w:t>P:\ARA\ITU-R\CONF-R\CMR15\000\025ADD19ADD09A.docx</w:t>
    </w:r>
    <w:r w:rsidRPr="00CB4300">
      <w:fldChar w:fldCharType="end"/>
    </w:r>
    <w:r w:rsidRPr="00CB4300">
      <w:rPr>
        <w:lang w:val="es-ES"/>
      </w:rPr>
      <w:t xml:space="preserve">  (</w:t>
    </w:r>
    <w:r w:rsidR="00E36254">
      <w:rPr>
        <w:lang w:val="es-ES"/>
      </w:rPr>
      <w:t>386946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8011B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8011B">
      <w:rPr>
        <w:noProof/>
      </w:rPr>
      <w:t>15.10.15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93D10">
    <w:pPr>
      <w:pStyle w:val="Footer"/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8011B">
      <w:rPr>
        <w:noProof/>
        <w:lang w:val="es-ES"/>
      </w:rPr>
      <w:t>P:\ARA\ITU-R\CONF-R\CMR15\000\025ADD19ADD09A.docx</w:t>
    </w:r>
    <w:r>
      <w:fldChar w:fldCharType="end"/>
    </w:r>
    <w:r w:rsidRPr="00CB4300">
      <w:rPr>
        <w:lang w:val="es-ES"/>
      </w:rPr>
      <w:t xml:space="preserve">   (</w:t>
    </w:r>
    <w:r w:rsidR="00E36254">
      <w:rPr>
        <w:lang w:val="es-ES"/>
      </w:rPr>
      <w:t>386946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8011B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8011B">
      <w:rPr>
        <w:noProof/>
      </w:rPr>
      <w:t>15.10.15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93D1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25(Add.19)(Add.9)-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25B5"/>
    <w:rsid w:val="000943E1"/>
    <w:rsid w:val="000A1B16"/>
    <w:rsid w:val="000B5404"/>
    <w:rsid w:val="000D1708"/>
    <w:rsid w:val="000E2AFC"/>
    <w:rsid w:val="000E6D30"/>
    <w:rsid w:val="000F05F5"/>
    <w:rsid w:val="000F28EA"/>
    <w:rsid w:val="000F518F"/>
    <w:rsid w:val="00100002"/>
    <w:rsid w:val="0010081C"/>
    <w:rsid w:val="001013E3"/>
    <w:rsid w:val="0010363F"/>
    <w:rsid w:val="001464F2"/>
    <w:rsid w:val="001629EC"/>
    <w:rsid w:val="00167364"/>
    <w:rsid w:val="001900CD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3096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029B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5CC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56CA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7D50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BF1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187F"/>
    <w:rsid w:val="0085569D"/>
    <w:rsid w:val="00855B59"/>
    <w:rsid w:val="0085774F"/>
    <w:rsid w:val="008657CB"/>
    <w:rsid w:val="00866A15"/>
    <w:rsid w:val="0088011B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3D10"/>
    <w:rsid w:val="009A3D30"/>
    <w:rsid w:val="009B0BD8"/>
    <w:rsid w:val="009D6348"/>
    <w:rsid w:val="009E613F"/>
    <w:rsid w:val="009F042B"/>
    <w:rsid w:val="009F25A2"/>
    <w:rsid w:val="009F7BA0"/>
    <w:rsid w:val="00A03FD6"/>
    <w:rsid w:val="00A10DAF"/>
    <w:rsid w:val="00A116A8"/>
    <w:rsid w:val="00A22AE9"/>
    <w:rsid w:val="00A24C48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4353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7C9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6DE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6162"/>
    <w:rsid w:val="00DC29DD"/>
    <w:rsid w:val="00DC7C0E"/>
    <w:rsid w:val="00DF2A6A"/>
    <w:rsid w:val="00DF3B72"/>
    <w:rsid w:val="00E10821"/>
    <w:rsid w:val="00E165ED"/>
    <w:rsid w:val="00E1713E"/>
    <w:rsid w:val="00E22707"/>
    <w:rsid w:val="00E2489D"/>
    <w:rsid w:val="00E25C06"/>
    <w:rsid w:val="00E26520"/>
    <w:rsid w:val="00E343A3"/>
    <w:rsid w:val="00E36254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59A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8B21C5A-5388-4154-89FC-98D60D1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R15-WRC15-C-0025!A19-A9!MSW-A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F421-F555-4FCC-8426-11FBF158B656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02EA39-B0E1-48A2-827C-6F728A24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1245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R15-WRC15-C-0025!A19-A9!MSW-A</vt:lpstr>
    </vt:vector>
  </TitlesOfParts>
  <Manager>General Secretariat - Pool</Manager>
  <Company>International Telecommunication Union (ITU)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R15-WRC15-C-0025!A19-A9!MSW-A</dc:title>
  <dc:creator>Documents Proposals Manager (DPM)</dc:creator>
  <cp:keywords>DPM_v5.2015.10.14_prod</cp:keywords>
  <cp:lastModifiedBy>Awad, Samy</cp:lastModifiedBy>
  <cp:revision>24</cp:revision>
  <cp:lastPrinted>2015-10-15T16:20:00Z</cp:lastPrinted>
  <dcterms:created xsi:type="dcterms:W3CDTF">2015-10-14T18:44:00Z</dcterms:created>
  <dcterms:modified xsi:type="dcterms:W3CDTF">2015-10-15T16:20:00Z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