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90121B" w:rsidRPr="00D73CC4" w:rsidTr="0054451B">
        <w:trPr>
          <w:cantSplit/>
        </w:trPr>
        <w:tc>
          <w:tcPr>
            <w:tcW w:w="6911" w:type="dxa"/>
          </w:tcPr>
          <w:p w:rsidR="0090121B" w:rsidRPr="00D73CC4" w:rsidRDefault="005D46FB" w:rsidP="005A0A73">
            <w:pPr>
              <w:spacing w:before="400" w:after="48"/>
              <w:rPr>
                <w:rFonts w:ascii="Verdana" w:hAnsi="Verdana"/>
                <w:position w:val="6"/>
              </w:rPr>
            </w:pPr>
            <w:r w:rsidRPr="00D73CC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73CC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73CC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95" w:type="dxa"/>
          </w:tcPr>
          <w:p w:rsidR="0090121B" w:rsidRPr="00D73CC4" w:rsidRDefault="00CE7431" w:rsidP="005A0A73">
            <w:pPr>
              <w:spacing w:before="0"/>
              <w:jc w:val="right"/>
            </w:pPr>
            <w:bookmarkStart w:id="0" w:name="ditulogo"/>
            <w:bookmarkEnd w:id="0"/>
            <w:r w:rsidRPr="00D73CC4">
              <w:rPr>
                <w:noProof/>
                <w:lang w:val="en-US" w:eastAsia="zh-CN"/>
              </w:rPr>
              <w:drawing>
                <wp:inline distT="0" distB="0" distL="0" distR="0" wp14:anchorId="354DEFD2" wp14:editId="09F61A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73CC4" w:rsidTr="0054451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73CC4" w:rsidRDefault="00CE7431" w:rsidP="005A0A73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D73CC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:rsidR="0090121B" w:rsidRPr="00D73CC4" w:rsidRDefault="0090121B" w:rsidP="005A0A73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D73CC4" w:rsidTr="005445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73CC4" w:rsidRDefault="0090121B" w:rsidP="005A0A7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:rsidR="0090121B" w:rsidRPr="00D73CC4" w:rsidRDefault="0090121B" w:rsidP="005A0A73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D73CC4" w:rsidTr="0054451B">
        <w:trPr>
          <w:cantSplit/>
        </w:trPr>
        <w:tc>
          <w:tcPr>
            <w:tcW w:w="6911" w:type="dxa"/>
            <w:shd w:val="clear" w:color="auto" w:fill="auto"/>
          </w:tcPr>
          <w:p w:rsidR="0090121B" w:rsidRPr="00D73CC4" w:rsidRDefault="00AE658F" w:rsidP="005A0A7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73CC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95" w:type="dxa"/>
            <w:shd w:val="clear" w:color="auto" w:fill="auto"/>
          </w:tcPr>
          <w:p w:rsidR="0090121B" w:rsidRPr="00D73CC4" w:rsidRDefault="00AE658F" w:rsidP="005A0A73">
            <w:pPr>
              <w:spacing w:before="0"/>
              <w:rPr>
                <w:rFonts w:ascii="Verdana" w:hAnsi="Verdana"/>
                <w:sz w:val="20"/>
              </w:rPr>
            </w:pPr>
            <w:r w:rsidRPr="00D73CC4">
              <w:rPr>
                <w:rFonts w:ascii="Verdana" w:eastAsia="SimSun" w:hAnsi="Verdana" w:cs="Traditional Arabic"/>
                <w:b/>
                <w:sz w:val="20"/>
              </w:rPr>
              <w:t>Addéndum 8 al</w:t>
            </w:r>
            <w:r w:rsidRPr="00D73CC4">
              <w:rPr>
                <w:rFonts w:ascii="Verdana" w:eastAsia="SimSun" w:hAnsi="Verdana" w:cs="Traditional Arabic"/>
                <w:b/>
                <w:sz w:val="20"/>
              </w:rPr>
              <w:br/>
              <w:t>Documento 25(Add.19)</w:t>
            </w:r>
            <w:r w:rsidR="0090121B" w:rsidRPr="00D73CC4">
              <w:rPr>
                <w:rFonts w:ascii="Verdana" w:hAnsi="Verdana"/>
                <w:b/>
                <w:sz w:val="20"/>
              </w:rPr>
              <w:t>-</w:t>
            </w:r>
            <w:r w:rsidRPr="00D73CC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73CC4" w:rsidTr="0054451B">
        <w:trPr>
          <w:cantSplit/>
        </w:trPr>
        <w:tc>
          <w:tcPr>
            <w:tcW w:w="6911" w:type="dxa"/>
            <w:shd w:val="clear" w:color="auto" w:fill="auto"/>
          </w:tcPr>
          <w:p w:rsidR="000A5B9A" w:rsidRPr="00D73CC4" w:rsidRDefault="000A5B9A" w:rsidP="005A0A7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0A5B9A" w:rsidRPr="00D73CC4" w:rsidRDefault="000A5B9A" w:rsidP="005A0A7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73CC4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D73CC4" w:rsidTr="0054451B">
        <w:trPr>
          <w:cantSplit/>
        </w:trPr>
        <w:tc>
          <w:tcPr>
            <w:tcW w:w="6911" w:type="dxa"/>
          </w:tcPr>
          <w:p w:rsidR="000A5B9A" w:rsidRPr="00D73CC4" w:rsidRDefault="000A5B9A" w:rsidP="005A0A7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</w:tcPr>
          <w:p w:rsidR="000A5B9A" w:rsidRPr="00D73CC4" w:rsidRDefault="000A5B9A" w:rsidP="005A0A7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73CC4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D73CC4" w:rsidTr="0054451B">
        <w:trPr>
          <w:cantSplit/>
        </w:trPr>
        <w:tc>
          <w:tcPr>
            <w:tcW w:w="10206" w:type="dxa"/>
            <w:gridSpan w:val="2"/>
          </w:tcPr>
          <w:p w:rsidR="000A5B9A" w:rsidRPr="00D73CC4" w:rsidRDefault="000A5B9A" w:rsidP="005A0A7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73CC4" w:rsidTr="0054451B">
        <w:trPr>
          <w:cantSplit/>
        </w:trPr>
        <w:tc>
          <w:tcPr>
            <w:tcW w:w="10206" w:type="dxa"/>
            <w:gridSpan w:val="2"/>
          </w:tcPr>
          <w:p w:rsidR="000A5B9A" w:rsidRPr="00D73CC4" w:rsidRDefault="000A5B9A" w:rsidP="005A0A73">
            <w:pPr>
              <w:pStyle w:val="Source"/>
            </w:pPr>
            <w:bookmarkStart w:id="2" w:name="dsource" w:colFirst="0" w:colLast="0"/>
            <w:r w:rsidRPr="00D73CC4">
              <w:t>Propuestas Comunes de los Estados Árabes</w:t>
            </w:r>
          </w:p>
        </w:tc>
      </w:tr>
      <w:tr w:rsidR="000A5B9A" w:rsidRPr="00D73CC4" w:rsidTr="0054451B">
        <w:trPr>
          <w:cantSplit/>
        </w:trPr>
        <w:tc>
          <w:tcPr>
            <w:tcW w:w="10206" w:type="dxa"/>
            <w:gridSpan w:val="2"/>
          </w:tcPr>
          <w:p w:rsidR="000A5B9A" w:rsidRPr="00D73CC4" w:rsidRDefault="0054451B" w:rsidP="005A0A73">
            <w:pPr>
              <w:pStyle w:val="Title1"/>
            </w:pPr>
            <w:bookmarkStart w:id="3" w:name="dtitle1" w:colFirst="0" w:colLast="0"/>
            <w:bookmarkEnd w:id="2"/>
            <w:r w:rsidRPr="00D73CC4">
              <w:t>Propuestas para los trabajos de la Conferencia</w:t>
            </w:r>
          </w:p>
        </w:tc>
      </w:tr>
      <w:tr w:rsidR="000A5B9A" w:rsidRPr="00D73CC4" w:rsidTr="0054451B">
        <w:trPr>
          <w:cantSplit/>
        </w:trPr>
        <w:tc>
          <w:tcPr>
            <w:tcW w:w="10206" w:type="dxa"/>
            <w:gridSpan w:val="2"/>
          </w:tcPr>
          <w:p w:rsidR="000A5B9A" w:rsidRPr="00D73CC4" w:rsidRDefault="000A5B9A" w:rsidP="005A0A7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73CC4" w:rsidTr="0054451B">
        <w:trPr>
          <w:cantSplit/>
        </w:trPr>
        <w:tc>
          <w:tcPr>
            <w:tcW w:w="10206" w:type="dxa"/>
            <w:gridSpan w:val="2"/>
          </w:tcPr>
          <w:p w:rsidR="000A5B9A" w:rsidRPr="00D73CC4" w:rsidRDefault="000A5B9A" w:rsidP="005A0A73">
            <w:pPr>
              <w:pStyle w:val="Agendaitem"/>
            </w:pPr>
            <w:bookmarkStart w:id="5" w:name="dtitle3" w:colFirst="0" w:colLast="0"/>
            <w:bookmarkEnd w:id="4"/>
            <w:r w:rsidRPr="00D73CC4">
              <w:t>Punto 7(H) del orden del día</w:t>
            </w:r>
          </w:p>
        </w:tc>
      </w:tr>
    </w:tbl>
    <w:bookmarkEnd w:id="5"/>
    <w:p w:rsidR="001C0E40" w:rsidRPr="00D73CC4" w:rsidRDefault="00E409B6" w:rsidP="005A0A73">
      <w:r w:rsidRPr="00D73CC4">
        <w:t>7</w:t>
      </w:r>
      <w:r w:rsidRPr="00D73CC4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D73CC4">
        <w:rPr>
          <w:b/>
          <w:bCs/>
        </w:rPr>
        <w:t>86 (Rev.CMR-07)</w:t>
      </w:r>
      <w:r w:rsidRPr="00D73CC4">
        <w:t>, para facilitar la utilización racional, eficaz y económica de las frecuencias radioeléctricas y toda órbita asociada, incluida la órbita de los satélites geoestacionarios;</w:t>
      </w:r>
    </w:p>
    <w:p w:rsidR="001C0E40" w:rsidRPr="00D73CC4" w:rsidRDefault="00E409B6" w:rsidP="005A0A73">
      <w:r w:rsidRPr="00D73CC4">
        <w:t>7(H)</w:t>
      </w:r>
      <w:r w:rsidRPr="00D73CC4">
        <w:tab/>
        <w:t>Tema H – Utilización de una estación espacial para poner en servicio asignaciones de frecuencias en posiciones orbitales diferentes dentro de un breve periodo de tiempo</w:t>
      </w:r>
    </w:p>
    <w:p w:rsidR="00CD3F9C" w:rsidRPr="00D73CC4" w:rsidRDefault="00CD3F9C" w:rsidP="005A0A73">
      <w:bookmarkStart w:id="6" w:name="_GoBack"/>
      <w:bookmarkEnd w:id="6"/>
    </w:p>
    <w:p w:rsidR="00692A28" w:rsidRPr="00D73CC4" w:rsidRDefault="00692A28" w:rsidP="005A0A73">
      <w:pPr>
        <w:pStyle w:val="Headingb"/>
      </w:pPr>
      <w:r w:rsidRPr="00D73CC4">
        <w:t>Introduc</w:t>
      </w:r>
      <w:r w:rsidR="00CD3F9C" w:rsidRPr="00D73CC4">
        <w:t>ció</w:t>
      </w:r>
      <w:r w:rsidRPr="00D73CC4">
        <w:t>n</w:t>
      </w:r>
    </w:p>
    <w:p w:rsidR="00692A28" w:rsidRPr="00D73CC4" w:rsidRDefault="00940AEC" w:rsidP="00044A05">
      <w:r w:rsidRPr="00D73CC4">
        <w:t xml:space="preserve">Habida cuenta de los resultados de estudios del UIT-R sobre este Tema, las </w:t>
      </w:r>
      <w:r w:rsidR="00044A05">
        <w:t>A</w:t>
      </w:r>
      <w:r w:rsidRPr="00D73CC4">
        <w:t>dministraciones de los Estados Árabes</w:t>
      </w:r>
      <w:r w:rsidR="00A43DE7" w:rsidRPr="00D73CC4">
        <w:t xml:space="preserve"> consideran conveniente mantener la práctica actual que consi</w:t>
      </w:r>
      <w:r w:rsidR="00044A05">
        <w:t>st</w:t>
      </w:r>
      <w:r w:rsidR="00A43DE7" w:rsidRPr="00D73CC4">
        <w:t xml:space="preserve">e en interrogar a una administración que pone en servicio asignaciones de frecuencias en una ubicación orbital determinada utilizando un satélite que ya está en órbita y publicar esa información en la </w:t>
      </w:r>
      <w:r w:rsidR="00D73CC4" w:rsidRPr="00D73CC4">
        <w:t>BR IFIC y/o colgarla en la página web, según el caso</w:t>
      </w:r>
      <w:r w:rsidR="00692A28" w:rsidRPr="00D73CC4">
        <w:t>.</w:t>
      </w:r>
    </w:p>
    <w:p w:rsidR="00692A28" w:rsidRPr="00D73CC4" w:rsidRDefault="00D73CC4" w:rsidP="005A0A73">
      <w:pPr>
        <w:rPr>
          <w:lang w:eastAsia="ja-JP"/>
        </w:rPr>
      </w:pPr>
      <w:r w:rsidRPr="00D73CC4">
        <w:t>En consecuencia</w:t>
      </w:r>
      <w:r w:rsidR="00692A28" w:rsidRPr="00D73CC4">
        <w:t xml:space="preserve">, </w:t>
      </w:r>
      <w:r w:rsidR="00692A28" w:rsidRPr="00D73CC4">
        <w:rPr>
          <w:lang w:eastAsia="ja-JP"/>
        </w:rPr>
        <w:t xml:space="preserve">la administración incluirá en la declaración de puesta en servicio de asignaciones de frecuencias la siguiente información para aquellos casos en los que se haya utilizado un satélite ya en órbita a fin de poner en servicio asignaciones de frecuencias en una determinada posición orbital y </w:t>
      </w:r>
      <w:r w:rsidR="00044A05">
        <w:rPr>
          <w:lang w:eastAsia="ja-JP"/>
        </w:rPr>
        <w:t xml:space="preserve">que </w:t>
      </w:r>
      <w:r w:rsidR="00692A28" w:rsidRPr="00D73CC4">
        <w:rPr>
          <w:lang w:eastAsia="ja-JP"/>
        </w:rPr>
        <w:t>ese mismo satélite se utilice para poner en servicio asignaciones de frecuencias en otra posición orbital dentro de un breve periodo de tiempo, habiendo dejado vacante la posición orbital anterior:</w:t>
      </w:r>
    </w:p>
    <w:p w:rsidR="00692A28" w:rsidRPr="00D73CC4" w:rsidRDefault="00692A28" w:rsidP="005A0A73">
      <w:pPr>
        <w:pStyle w:val="enumlev1"/>
        <w:rPr>
          <w:lang w:eastAsia="ja-JP"/>
        </w:rPr>
      </w:pPr>
      <w:r w:rsidRPr="00D73CC4">
        <w:rPr>
          <w:lang w:eastAsia="ja-JP"/>
        </w:rPr>
        <w:t>a)</w:t>
      </w:r>
      <w:r w:rsidRPr="00D73CC4">
        <w:rPr>
          <w:lang w:eastAsia="ja-JP"/>
        </w:rPr>
        <w:tab/>
        <w:t>Posición orbital en la que el satélite en órbita se encontraba previamente.</w:t>
      </w:r>
    </w:p>
    <w:p w:rsidR="00692A28" w:rsidRPr="00D73CC4" w:rsidRDefault="00692A28" w:rsidP="005A0A73">
      <w:pPr>
        <w:pStyle w:val="enumlev1"/>
        <w:rPr>
          <w:lang w:eastAsia="ja-JP"/>
        </w:rPr>
      </w:pPr>
      <w:r w:rsidRPr="00D73CC4">
        <w:rPr>
          <w:lang w:eastAsia="ja-JP"/>
        </w:rPr>
        <w:t>b)</w:t>
      </w:r>
      <w:r w:rsidRPr="00D73CC4">
        <w:rPr>
          <w:lang w:eastAsia="ja-JP"/>
        </w:rPr>
        <w:tab/>
        <w:t>Qué red de satélites se puso en servicio en la anterior posición orbital utilizando el satélite que ya estaba en órbita.</w:t>
      </w:r>
    </w:p>
    <w:p w:rsidR="00692A28" w:rsidRPr="00D73CC4" w:rsidRDefault="00692A28" w:rsidP="005A0A73">
      <w:pPr>
        <w:pStyle w:val="enumlev1"/>
        <w:rPr>
          <w:lang w:eastAsia="ja-JP"/>
        </w:rPr>
      </w:pPr>
      <w:r w:rsidRPr="00D73CC4">
        <w:rPr>
          <w:lang w:eastAsia="ja-JP"/>
        </w:rPr>
        <w:t>c)</w:t>
      </w:r>
      <w:r w:rsidRPr="00D73CC4">
        <w:rPr>
          <w:lang w:eastAsia="ja-JP"/>
        </w:rPr>
        <w:tab/>
        <w:t>Los motivos de esta reubicación.</w:t>
      </w:r>
    </w:p>
    <w:p w:rsidR="00363A65" w:rsidRPr="00D73CC4" w:rsidRDefault="00692A28" w:rsidP="005A0A73">
      <w:pPr>
        <w:rPr>
          <w:szCs w:val="24"/>
          <w:lang w:eastAsia="zh-CN"/>
        </w:rPr>
      </w:pPr>
      <w:r w:rsidRPr="00D73CC4">
        <w:lastRenderedPageBreak/>
        <w:t>Una vez recibida la información enviada con arreglo al procedimiento anterior, la Oficina la pondrá a disposición a la mayor brevedad posible y la publicará en la BR IFIC y</w:t>
      </w:r>
      <w:r w:rsidRPr="00D73CC4">
        <w:rPr>
          <w:szCs w:val="24"/>
          <w:lang w:eastAsia="zh-CN"/>
        </w:rPr>
        <w:t>/o en la página web, según proceda.</w:t>
      </w:r>
    </w:p>
    <w:p w:rsidR="00692A28" w:rsidRPr="00D73CC4" w:rsidRDefault="00692A28" w:rsidP="005A0A73">
      <w:pPr>
        <w:rPr>
          <w:lang w:eastAsia="ja-JP"/>
        </w:rPr>
      </w:pPr>
      <w:r w:rsidRPr="00D73CC4">
        <w:rPr>
          <w:lang w:eastAsia="ja-JP"/>
        </w:rPr>
        <w:t xml:space="preserve">Cabe esperar que la publicación en la </w:t>
      </w:r>
      <w:r w:rsidRPr="00D73CC4">
        <w:t>BR IFIC y/o en la página web contribuirá a minimizar los casos de puesta en servicio que no se corresponden con una «utilización legítima» y una utilización eficiente de los recursos de espectro/</w:t>
      </w:r>
      <w:r w:rsidRPr="00D73CC4">
        <w:rPr>
          <w:lang w:eastAsia="ja-JP"/>
        </w:rPr>
        <w:t>órbita.</w:t>
      </w:r>
    </w:p>
    <w:p w:rsidR="00692A28" w:rsidRPr="00D73CC4" w:rsidRDefault="00D73CC4" w:rsidP="005A0A73">
      <w:r w:rsidRPr="00D73CC4">
        <w:t>Este procedimiento quedará registrado o refrendado en las actas de la sesión plenaria de la CMR-15</w:t>
      </w:r>
      <w:r w:rsidR="00692A28" w:rsidRPr="00D73CC4">
        <w:t>.</w:t>
      </w:r>
    </w:p>
    <w:p w:rsidR="00692A28" w:rsidRPr="00D73CC4" w:rsidRDefault="00692A28" w:rsidP="005A0A73">
      <w:pPr>
        <w:pStyle w:val="Headingb"/>
      </w:pPr>
      <w:r w:rsidRPr="00D73CC4">
        <w:t>Prop</w:t>
      </w:r>
      <w:r w:rsidR="00CD3F9C" w:rsidRPr="00D73CC4">
        <w:t>uesta</w:t>
      </w:r>
    </w:p>
    <w:p w:rsidR="00C11572" w:rsidRPr="00D73CC4" w:rsidRDefault="00E409B6" w:rsidP="005A0A73">
      <w:pPr>
        <w:pStyle w:val="Proposal"/>
      </w:pPr>
      <w:r w:rsidRPr="00D73CC4">
        <w:rPr>
          <w:u w:val="single"/>
        </w:rPr>
        <w:t>NOC</w:t>
      </w:r>
      <w:r w:rsidRPr="00D73CC4">
        <w:tab/>
        <w:t>ARB/25A19A8/1</w:t>
      </w:r>
    </w:p>
    <w:p w:rsidR="00C11572" w:rsidRPr="00D73CC4" w:rsidRDefault="00D73CC4" w:rsidP="005A0A73">
      <w:pPr>
        <w:pStyle w:val="Title1"/>
      </w:pPr>
      <w:r w:rsidRPr="00D73CC4">
        <w:t>Reglamento de Radiocomunicaciones</w:t>
      </w:r>
    </w:p>
    <w:p w:rsidR="005A0A73" w:rsidRDefault="005A0A73" w:rsidP="0032202E">
      <w:pPr>
        <w:pStyle w:val="Reasons"/>
      </w:pPr>
    </w:p>
    <w:p w:rsidR="005A0A73" w:rsidRDefault="005A0A73">
      <w:pPr>
        <w:jc w:val="center"/>
      </w:pPr>
      <w:r>
        <w:t>______________</w:t>
      </w:r>
    </w:p>
    <w:sectPr w:rsidR="005A0A73" w:rsidSect="00CE04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933E88" w:rsidRDefault="0077084A">
    <w:pPr>
      <w:ind w:right="360"/>
    </w:pPr>
    <w:r>
      <w:fldChar w:fldCharType="begin"/>
    </w:r>
    <w:r w:rsidRPr="00933E88">
      <w:instrText xml:space="preserve"> FILENAME \p  \* MERGEFORMAT </w:instrText>
    </w:r>
    <w:r>
      <w:fldChar w:fldCharType="separate"/>
    </w:r>
    <w:r w:rsidR="00044A05">
      <w:rPr>
        <w:noProof/>
      </w:rPr>
      <w:t>P:\ESP\ITU-R\CONF-R\CMR15\000\025ADD19ADD08S.docx</w:t>
    </w:r>
    <w:r>
      <w:fldChar w:fldCharType="end"/>
    </w:r>
    <w:r w:rsidRPr="00933E88">
      <w:tab/>
    </w:r>
    <w:r>
      <w:fldChar w:fldCharType="begin"/>
    </w:r>
    <w:r>
      <w:instrText xml:space="preserve"> SAVEDATE \@ DD.MM.YY </w:instrText>
    </w:r>
    <w:r>
      <w:fldChar w:fldCharType="separate"/>
    </w:r>
    <w:r w:rsidR="00044A05">
      <w:rPr>
        <w:noProof/>
      </w:rPr>
      <w:t>23.10.15</w:t>
    </w:r>
    <w:r>
      <w:fldChar w:fldCharType="end"/>
    </w:r>
    <w:r w:rsidRPr="00933E88">
      <w:tab/>
    </w:r>
    <w:r>
      <w:fldChar w:fldCharType="begin"/>
    </w:r>
    <w:r>
      <w:instrText xml:space="preserve"> PRINTDATE \@ DD.MM.YY </w:instrText>
    </w:r>
    <w:r>
      <w:fldChar w:fldCharType="separate"/>
    </w:r>
    <w:r w:rsidR="00044A05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D6" w:rsidRPr="00717078" w:rsidRDefault="00717078" w:rsidP="00717078">
    <w:pPr>
      <w:pStyle w:val="Footer"/>
    </w:pPr>
    <w:fldSimple w:instr=" FILENAME \p  \* MERGEFORMAT ">
      <w:r w:rsidR="00044A05">
        <w:t>P:\ESP\ITU-R\CONF-R\CMR15\000\025ADD19ADD08S.docx</w:t>
      </w:r>
    </w:fldSimple>
    <w:r>
      <w:t xml:space="preserve"> (386945)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44A05">
      <w:t>23.10.15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44A05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D64B99" w:rsidRDefault="00717078" w:rsidP="00D64B99">
    <w:pPr>
      <w:pStyle w:val="Footer"/>
    </w:pPr>
    <w:fldSimple w:instr=" FILENAME \p  \* MERGEFORMAT ">
      <w:r w:rsidR="00044A05">
        <w:t>P:\ESP\ITU-R\CONF-R\CMR15\000\025ADD19ADD08S.docx</w:t>
      </w:r>
    </w:fldSimple>
    <w:r>
      <w:t xml:space="preserve"> (386945</w:t>
    </w:r>
    <w:r w:rsidR="00D64B99">
      <w:t>)</w:t>
    </w:r>
    <w:r w:rsidR="00D64B99">
      <w:tab/>
    </w:r>
    <w:r w:rsidR="00D64B99">
      <w:fldChar w:fldCharType="begin"/>
    </w:r>
    <w:r w:rsidR="00D64B99">
      <w:instrText xml:space="preserve"> SAVEDATE \@ DD.MM.YY </w:instrText>
    </w:r>
    <w:r w:rsidR="00D64B99">
      <w:fldChar w:fldCharType="separate"/>
    </w:r>
    <w:r w:rsidR="00044A05">
      <w:t>23.10.15</w:t>
    </w:r>
    <w:r w:rsidR="00D64B99">
      <w:fldChar w:fldCharType="end"/>
    </w:r>
    <w:r w:rsidR="00D64B99">
      <w:tab/>
    </w:r>
    <w:r w:rsidR="00D64B99">
      <w:fldChar w:fldCharType="begin"/>
    </w:r>
    <w:r w:rsidR="00D64B99">
      <w:instrText xml:space="preserve"> PRINTDATE \@ DD.MM.YY </w:instrText>
    </w:r>
    <w:r w:rsidR="00D64B99">
      <w:fldChar w:fldCharType="separate"/>
    </w:r>
    <w:r w:rsidR="00044A05">
      <w:t>23.10.15</w:t>
    </w:r>
    <w:r w:rsidR="00D64B9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78" w:rsidRDefault="007170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4A0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25(Add.19)(Add.8)-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78" w:rsidRDefault="00717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7EB592B-E359-4264-B356-AD257CE83E53}"/>
    <w:docVar w:name="dgnword-eventsink" w:val="216995520"/>
  </w:docVars>
  <w:rsids>
    <w:rsidRoot w:val="0090121B"/>
    <w:rsid w:val="0002785D"/>
    <w:rsid w:val="00044A05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061C3"/>
    <w:rsid w:val="00236D2A"/>
    <w:rsid w:val="00255F12"/>
    <w:rsid w:val="00262C09"/>
    <w:rsid w:val="002A76B7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610D6"/>
    <w:rsid w:val="004B124A"/>
    <w:rsid w:val="005133B5"/>
    <w:rsid w:val="00532097"/>
    <w:rsid w:val="0054451B"/>
    <w:rsid w:val="0058350F"/>
    <w:rsid w:val="00583C7E"/>
    <w:rsid w:val="005A0A73"/>
    <w:rsid w:val="005D46FB"/>
    <w:rsid w:val="005F2605"/>
    <w:rsid w:val="005F3B0E"/>
    <w:rsid w:val="005F559C"/>
    <w:rsid w:val="00662BA0"/>
    <w:rsid w:val="00692A28"/>
    <w:rsid w:val="00692AAE"/>
    <w:rsid w:val="006D6E67"/>
    <w:rsid w:val="006E1A13"/>
    <w:rsid w:val="00701C20"/>
    <w:rsid w:val="00702F3D"/>
    <w:rsid w:val="0070518E"/>
    <w:rsid w:val="00717078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33E88"/>
    <w:rsid w:val="0094091F"/>
    <w:rsid w:val="00940AEC"/>
    <w:rsid w:val="00973754"/>
    <w:rsid w:val="009C0BED"/>
    <w:rsid w:val="009E11EC"/>
    <w:rsid w:val="00A118DB"/>
    <w:rsid w:val="00A43DE7"/>
    <w:rsid w:val="00A4450C"/>
    <w:rsid w:val="00A5076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1572"/>
    <w:rsid w:val="00C126C4"/>
    <w:rsid w:val="00C63EB5"/>
    <w:rsid w:val="00C87820"/>
    <w:rsid w:val="00CC01E0"/>
    <w:rsid w:val="00CD3F9C"/>
    <w:rsid w:val="00CD5FEE"/>
    <w:rsid w:val="00CE04B1"/>
    <w:rsid w:val="00CE60D2"/>
    <w:rsid w:val="00CE7431"/>
    <w:rsid w:val="00D0288A"/>
    <w:rsid w:val="00D41A3D"/>
    <w:rsid w:val="00D64B99"/>
    <w:rsid w:val="00D72A5D"/>
    <w:rsid w:val="00D73CC4"/>
    <w:rsid w:val="00DC629B"/>
    <w:rsid w:val="00E05BFF"/>
    <w:rsid w:val="00E262F1"/>
    <w:rsid w:val="00E3176A"/>
    <w:rsid w:val="00E409B6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3583069-CF2A-4D75-B172-0ECF9DB4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692A28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73C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3CC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R15-WRC15-C-0025!A19-A8!MSW-S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0F46F8-6E43-4C1B-B5D4-F0A4A035A17F}">
  <ds:schemaRefs>
    <ds:schemaRef ds:uri="http://purl.org/dc/elements/1.1/"/>
    <ds:schemaRef ds:uri="32a1a8c5-2265-4ebc-b7a0-2071e2c5c9bb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F89307-691F-4FFC-A8C4-211824C2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R15-WRC15-C-0025!A19-A8!MSW-S</vt:lpstr>
    </vt:vector>
  </TitlesOfParts>
  <Manager>Secretaría General - Pool</Manager>
  <Company>Unión Internacional de Telecomunicaciones (UIT)</Company>
  <LinksUpToDate>false</LinksUpToDate>
  <CharactersWithSpaces>2873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R15-WRC15-C-0025!A19-A8!MSW-S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8</cp:revision>
  <cp:lastPrinted>2015-10-23T20:43:00Z</cp:lastPrinted>
  <dcterms:created xsi:type="dcterms:W3CDTF">2015-10-23T13:09:00Z</dcterms:created>
  <dcterms:modified xsi:type="dcterms:W3CDTF">2015-10-23T20:51:00Z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