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825220" w:rsidRDefault="00280E04" w:rsidP="00D44350">
            <w:pPr>
              <w:pStyle w:val="Adress"/>
              <w:framePr w:hSpace="0" w:wrap="auto" w:xAlign="left" w:yAlign="inline"/>
              <w:rPr>
                <w:rtl/>
              </w:rPr>
            </w:pPr>
          </w:p>
        </w:tc>
        <w:tc>
          <w:tcPr>
            <w:tcW w:w="3053" w:type="dxa"/>
            <w:tcBorders>
              <w:top w:val="single" w:sz="12" w:space="0" w:color="auto"/>
            </w:tcBorders>
          </w:tcPr>
          <w:p w:rsidR="00280E04" w:rsidRPr="00825220"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825220"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825220">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825220" w:rsidRDefault="003E1608" w:rsidP="00825220">
            <w:pPr>
              <w:pStyle w:val="Adress"/>
              <w:framePr w:hSpace="0" w:wrap="auto" w:xAlign="left" w:yAlign="inline"/>
              <w:rPr>
                <w:rtl/>
              </w:rPr>
            </w:pPr>
            <w:r w:rsidRPr="00825220">
              <w:rPr>
                <w:rtl/>
              </w:rPr>
              <w:t xml:space="preserve">الإضافة </w:t>
            </w:r>
            <w:r w:rsidRPr="00825220">
              <w:t>8</w:t>
            </w:r>
            <w:r w:rsidRPr="00825220">
              <w:br/>
            </w:r>
            <w:r w:rsidRPr="00825220">
              <w:rPr>
                <w:rtl/>
              </w:rPr>
              <w:t xml:space="preserve">للوثيقة </w:t>
            </w:r>
            <w:r w:rsidRPr="00825220">
              <w:t>25(Add.19)-</w:t>
            </w:r>
            <w:r w:rsidR="00825220">
              <w:t>A</w:t>
            </w:r>
          </w:p>
        </w:tc>
      </w:tr>
      <w:tr w:rsidR="00764079" w:rsidTr="003E1608">
        <w:trPr>
          <w:cantSplit/>
        </w:trPr>
        <w:tc>
          <w:tcPr>
            <w:tcW w:w="6619" w:type="dxa"/>
            <w:shd w:val="clear" w:color="auto" w:fill="auto"/>
          </w:tcPr>
          <w:p w:rsidR="00764079" w:rsidRPr="00825220" w:rsidRDefault="00764079" w:rsidP="00D44350">
            <w:pPr>
              <w:pStyle w:val="Adress"/>
              <w:framePr w:hSpace="0" w:wrap="auto" w:xAlign="left" w:yAlign="inline"/>
              <w:rPr>
                <w:rtl/>
              </w:rPr>
            </w:pPr>
          </w:p>
        </w:tc>
        <w:tc>
          <w:tcPr>
            <w:tcW w:w="3053" w:type="dxa"/>
            <w:shd w:val="clear" w:color="auto" w:fill="auto"/>
            <w:vAlign w:val="center"/>
          </w:tcPr>
          <w:p w:rsidR="00764079" w:rsidRPr="00825220" w:rsidRDefault="00764079" w:rsidP="00D44350">
            <w:pPr>
              <w:pStyle w:val="Adress"/>
              <w:framePr w:hSpace="0" w:wrap="auto" w:xAlign="left" w:yAlign="inline"/>
              <w:rPr>
                <w:rtl/>
              </w:rPr>
            </w:pPr>
            <w:r w:rsidRPr="00825220">
              <w:rPr>
                <w:rFonts w:eastAsia="SimSun"/>
              </w:rPr>
              <w:t>10</w:t>
            </w:r>
            <w:r w:rsidRPr="00825220">
              <w:rPr>
                <w:rFonts w:eastAsia="SimSun"/>
                <w:rtl/>
              </w:rPr>
              <w:t xml:space="preserve"> سبتمبر </w:t>
            </w:r>
            <w:r w:rsidRPr="00825220">
              <w:rPr>
                <w:rFonts w:eastAsia="SimSun"/>
              </w:rPr>
              <w:t>2015</w:t>
            </w:r>
          </w:p>
        </w:tc>
      </w:tr>
      <w:tr w:rsidR="00764079" w:rsidTr="003E1608">
        <w:trPr>
          <w:cantSplit/>
        </w:trPr>
        <w:tc>
          <w:tcPr>
            <w:tcW w:w="6619" w:type="dxa"/>
          </w:tcPr>
          <w:p w:rsidR="00764079" w:rsidRPr="00825220" w:rsidRDefault="00764079" w:rsidP="00D44350">
            <w:pPr>
              <w:pStyle w:val="Adress"/>
              <w:framePr w:hSpace="0" w:wrap="auto" w:xAlign="left" w:yAlign="inline"/>
              <w:rPr>
                <w:rFonts w:eastAsia="SimSun" w:hint="eastAsia"/>
                <w:rtl/>
              </w:rPr>
            </w:pPr>
          </w:p>
        </w:tc>
        <w:tc>
          <w:tcPr>
            <w:tcW w:w="3053" w:type="dxa"/>
            <w:vAlign w:val="center"/>
          </w:tcPr>
          <w:p w:rsidR="00764079" w:rsidRPr="00825220" w:rsidRDefault="00764079" w:rsidP="00D44350">
            <w:pPr>
              <w:pStyle w:val="Adress"/>
              <w:framePr w:hSpace="0" w:wrap="auto" w:xAlign="left" w:yAlign="inline"/>
              <w:rPr>
                <w:rFonts w:eastAsia="SimSun" w:hint="eastAsia"/>
              </w:rPr>
            </w:pPr>
            <w:r w:rsidRPr="00825220">
              <w:rPr>
                <w:rFonts w:eastAsia="SimSun"/>
                <w:rtl/>
              </w:rPr>
              <w:t>الأصل: بالعربية</w:t>
            </w:r>
          </w:p>
        </w:tc>
      </w:tr>
      <w:tr w:rsidR="00764079" w:rsidTr="003E1608">
        <w:trPr>
          <w:cantSplit/>
        </w:trPr>
        <w:tc>
          <w:tcPr>
            <w:tcW w:w="9672" w:type="dxa"/>
            <w:gridSpan w:val="2"/>
          </w:tcPr>
          <w:p w:rsidR="00764079" w:rsidRPr="00825220"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مشتركة مقدمة من الدول العربية</w:t>
            </w:r>
          </w:p>
        </w:tc>
      </w:tr>
      <w:tr w:rsidR="00764079" w:rsidTr="003E1608">
        <w:trPr>
          <w:cantSplit/>
        </w:trPr>
        <w:tc>
          <w:tcPr>
            <w:tcW w:w="9672" w:type="dxa"/>
            <w:gridSpan w:val="2"/>
          </w:tcPr>
          <w:p w:rsidR="00764079" w:rsidRPr="00BD6EF3" w:rsidRDefault="00BA3B54" w:rsidP="008A23A1">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BA3B54" w:rsidP="00A36940">
            <w:pPr>
              <w:pStyle w:val="Agendaitem"/>
              <w:spacing w:before="240" w:line="192" w:lineRule="auto"/>
            </w:pPr>
            <w:r>
              <w:rPr>
                <w:rtl/>
              </w:rPr>
              <w:t>البنـد</w:t>
            </w:r>
            <w:r>
              <w:rPr>
                <w:lang w:val="en-US"/>
              </w:rPr>
              <w:t xml:space="preserve">(H)7 </w:t>
            </w:r>
            <w:r w:rsidR="00A36940">
              <w:rPr>
                <w:rFonts w:hint="cs"/>
                <w:rtl/>
              </w:rPr>
              <w:t> </w:t>
            </w:r>
            <w:r w:rsidR="00764079" w:rsidRPr="008204AC">
              <w:rPr>
                <w:rtl/>
              </w:rPr>
              <w:t>من جدول الأعمال</w:t>
            </w:r>
          </w:p>
        </w:tc>
      </w:tr>
    </w:tbl>
    <w:p w:rsidR="001D597A" w:rsidRPr="008A23A1" w:rsidRDefault="001E6FFD" w:rsidP="00A36940">
      <w:pPr>
        <w:pStyle w:val="Normalaftertitle"/>
        <w:rPr>
          <w:rFonts w:eastAsia="SimSun"/>
          <w:rtl/>
        </w:rPr>
      </w:pPr>
      <w:r w:rsidRPr="008A23A1">
        <w:rPr>
          <w:rFonts w:eastAsia="SimSun"/>
        </w:rPr>
        <w:t>7</w:t>
      </w:r>
      <w:r w:rsidRPr="008A23A1">
        <w:rPr>
          <w:rFonts w:eastAsia="SimSun" w:hint="cs"/>
          <w:rtl/>
        </w:rPr>
        <w:tab/>
        <w:t xml:space="preserve">النظر في أي تغييرات قد يلزم إجراؤها، وفي خيارات أخرى، تطبيقاً للقرار </w:t>
      </w:r>
      <w:r w:rsidRPr="008A23A1">
        <w:rPr>
          <w:rFonts w:eastAsia="SimSun"/>
        </w:rPr>
        <w:t>86</w:t>
      </w:r>
      <w:r w:rsidRPr="008A23A1">
        <w:rPr>
          <w:rFonts w:eastAsia="SimSun" w:hint="cs"/>
          <w:rtl/>
        </w:rPr>
        <w:t xml:space="preserve"> (المراجع في مراكش،</w:t>
      </w:r>
      <w:r w:rsidR="00A36940">
        <w:rPr>
          <w:rFonts w:eastAsia="SimSun" w:hint="eastAsia"/>
          <w:rtl/>
        </w:rPr>
        <w:t> </w:t>
      </w:r>
      <w:r w:rsidRPr="008A23A1">
        <w:rPr>
          <w:rFonts w:eastAsia="SimSun"/>
        </w:rPr>
        <w:t>(2002</w:t>
      </w:r>
      <w:r w:rsidRPr="008A23A1">
        <w:rPr>
          <w:rFonts w:eastAsia="SimSun" w:hint="cs"/>
          <w:rtl/>
        </w:rPr>
        <w:t xml:space="preserve"> لمؤتمر المندوبين المفوضين، بشأن "إجراءات النشر المسبق والتنسيق </w:t>
      </w:r>
      <w:r w:rsidRPr="008A23A1">
        <w:rPr>
          <w:rFonts w:eastAsia="SimSun" w:hint="cs"/>
          <w:rtl/>
          <w:lang w:bidi="ar-SY"/>
        </w:rPr>
        <w:t>والتبليغ</w:t>
      </w:r>
      <w:r w:rsidRPr="008A23A1">
        <w:rPr>
          <w:rFonts w:eastAsia="SimSun" w:hint="cs"/>
          <w:rtl/>
        </w:rPr>
        <w:t xml:space="preserve"> والتسجيل لتخصيصات التردد للشبكات الساتلية"، وفقاً للقرار </w:t>
      </w:r>
      <w:r w:rsidRPr="008A23A1">
        <w:rPr>
          <w:rFonts w:eastAsia="SimSun"/>
          <w:b/>
          <w:bCs/>
        </w:rPr>
        <w:t>86 (Rev.WRC</w:t>
      </w:r>
      <w:r w:rsidRPr="008A23A1">
        <w:rPr>
          <w:rFonts w:eastAsia="SimSun"/>
          <w:b/>
          <w:bCs/>
        </w:rPr>
        <w:noBreakHyphen/>
        <w:t>07)</w:t>
      </w:r>
      <w:r w:rsidRPr="008A23A1">
        <w:rPr>
          <w:rFonts w:eastAsia="SimSun" w:hint="cs"/>
          <w:rtl/>
        </w:rPr>
        <w:t xml:space="preserve"> تيسيراً للاستخدام الرشيد والفعال والاقتصادي للترددات الراديوية وأي مدارات مرتبطة</w:t>
      </w:r>
      <w:r w:rsidR="00A36940">
        <w:rPr>
          <w:rFonts w:eastAsia="SimSun" w:hint="eastAsia"/>
          <w:rtl/>
        </w:rPr>
        <w:t> </w:t>
      </w:r>
      <w:r w:rsidRPr="008A23A1">
        <w:rPr>
          <w:rFonts w:eastAsia="SimSun" w:hint="cs"/>
          <w:rtl/>
        </w:rPr>
        <w:t>بها، بما</w:t>
      </w:r>
      <w:r w:rsidR="00A36940">
        <w:rPr>
          <w:rFonts w:eastAsia="SimSun" w:hint="eastAsia"/>
          <w:rtl/>
        </w:rPr>
        <w:t> </w:t>
      </w:r>
      <w:r w:rsidRPr="008A23A1">
        <w:rPr>
          <w:rFonts w:eastAsia="SimSun" w:hint="cs"/>
          <w:rtl/>
        </w:rPr>
        <w:t>فيها مدار السواتل المستقرة بالنسبة إلى الأرض؛</w:t>
      </w:r>
    </w:p>
    <w:p w:rsidR="001D597A" w:rsidRPr="008024EC" w:rsidRDefault="001E6FFD" w:rsidP="008024EC">
      <w:pPr>
        <w:rPr>
          <w:rFonts w:eastAsia="SimSun"/>
        </w:rPr>
      </w:pPr>
      <w:r w:rsidRPr="008024EC">
        <w:rPr>
          <w:rFonts w:eastAsia="SimSun"/>
        </w:rPr>
        <w:t>(H)7</w:t>
      </w:r>
      <w:r w:rsidRPr="008024EC">
        <w:rPr>
          <w:rFonts w:eastAsia="SimSun"/>
          <w:lang w:bidi="ar-SY"/>
        </w:rPr>
        <w:tab/>
      </w:r>
      <w:r w:rsidRPr="008024EC">
        <w:rPr>
          <w:rFonts w:eastAsia="SimSun" w:hint="cs"/>
          <w:rtl/>
        </w:rPr>
        <w:t xml:space="preserve">المسألة </w:t>
      </w:r>
      <w:r w:rsidRPr="008024EC">
        <w:rPr>
          <w:rFonts w:eastAsia="SimSun"/>
        </w:rPr>
        <w:t>H</w:t>
      </w:r>
      <w:r w:rsidRPr="008024EC">
        <w:rPr>
          <w:rFonts w:eastAsia="SimSun" w:hint="cs"/>
          <w:rtl/>
        </w:rPr>
        <w:t xml:space="preserve"> - </w:t>
      </w:r>
      <w:r w:rsidRPr="008024EC">
        <w:rPr>
          <w:rFonts w:eastAsia="SimSun"/>
          <w:rtl/>
        </w:rPr>
        <w:t>استخدام محطة فضائية لوضع تخصيصات ترددات في الخدمة في مواقع مدارية مختلفة خلال فترة قصيرة من</w:t>
      </w:r>
      <w:r w:rsidR="008024EC" w:rsidRPr="008024EC">
        <w:rPr>
          <w:rFonts w:eastAsia="SimSun" w:hint="cs"/>
          <w:rtl/>
        </w:rPr>
        <w:t> </w:t>
      </w:r>
      <w:r w:rsidRPr="008024EC">
        <w:rPr>
          <w:rFonts w:eastAsia="SimSun"/>
          <w:rtl/>
        </w:rPr>
        <w:t>الوقت</w:t>
      </w:r>
    </w:p>
    <w:p w:rsidR="00F16602" w:rsidRDefault="008024EC" w:rsidP="008024EC">
      <w:pPr>
        <w:pStyle w:val="Headingb"/>
      </w:pPr>
      <w:r>
        <w:rPr>
          <w:rFonts w:hint="cs"/>
          <w:rtl/>
        </w:rPr>
        <w:t>مقدمة</w:t>
      </w:r>
    </w:p>
    <w:p w:rsidR="00160041" w:rsidRPr="008024EC" w:rsidRDefault="001E6FFD" w:rsidP="008A23A1">
      <w:pPr>
        <w:rPr>
          <w:rtl/>
        </w:rPr>
      </w:pPr>
      <w:r w:rsidRPr="008024EC">
        <w:rPr>
          <w:rFonts w:hint="cs"/>
          <w:rtl/>
          <w:lang w:bidi="ar-OM"/>
        </w:rPr>
        <w:t>بناء</w:t>
      </w:r>
      <w:r w:rsidR="00DC2009">
        <w:rPr>
          <w:rFonts w:hint="cs"/>
          <w:rtl/>
          <w:lang w:bidi="ar-OM"/>
        </w:rPr>
        <w:t>ً</w:t>
      </w:r>
      <w:r w:rsidRPr="008024EC">
        <w:rPr>
          <w:rFonts w:hint="cs"/>
          <w:rtl/>
          <w:lang w:bidi="ar-OM"/>
        </w:rPr>
        <w:t xml:space="preserve"> على نتائج دراسات قطاع ال</w:t>
      </w:r>
      <w:r w:rsidR="008A23A1">
        <w:rPr>
          <w:rFonts w:hint="cs"/>
          <w:rtl/>
          <w:lang w:bidi="ar-OM"/>
        </w:rPr>
        <w:t>ا</w:t>
      </w:r>
      <w:r w:rsidRPr="008024EC">
        <w:rPr>
          <w:rFonts w:hint="cs"/>
          <w:rtl/>
          <w:lang w:bidi="ar-OM"/>
        </w:rPr>
        <w:t>تصالات الراديوية بشأن هذه المسألة ترى إدارات الدول العربية ب</w:t>
      </w:r>
      <w:r w:rsidRPr="008024EC">
        <w:rPr>
          <w:rFonts w:hint="cs"/>
          <w:rtl/>
        </w:rPr>
        <w:t xml:space="preserve">مواصلة الممارسة الحالية المتمثلة في الاستفسار من </w:t>
      </w:r>
      <w:r w:rsidRPr="008024EC">
        <w:rPr>
          <w:rtl/>
        </w:rPr>
        <w:t xml:space="preserve">إحدى الإدارات </w:t>
      </w:r>
      <w:r w:rsidRPr="008024EC">
        <w:rPr>
          <w:rFonts w:hint="cs"/>
          <w:rtl/>
        </w:rPr>
        <w:t xml:space="preserve">التي تقوم </w:t>
      </w:r>
      <w:r w:rsidRPr="008024EC">
        <w:rPr>
          <w:rtl/>
        </w:rPr>
        <w:t>بإدخال تخصيصات ترددات في الخدمة في موقع مداري بعينه مستعملة في ذلك ساتلاً موجوداً بالفعل في المدار،</w:t>
      </w:r>
      <w:r w:rsidRPr="008024EC">
        <w:rPr>
          <w:rFonts w:hint="cs"/>
          <w:rtl/>
        </w:rPr>
        <w:t xml:space="preserve"> وجعل هذه المعلومات متاحة من خلال</w:t>
      </w:r>
      <w:r w:rsidRPr="008024EC">
        <w:rPr>
          <w:rtl/>
        </w:rPr>
        <w:t> النشرة الإعلامية الدولية للترددات الصادرة عن مكتب الاتصالات الراديوية</w:t>
      </w:r>
      <w:r w:rsidRPr="008024EC">
        <w:rPr>
          <w:rFonts w:hint="cs"/>
          <w:rtl/>
        </w:rPr>
        <w:t xml:space="preserve"> و/أو ينشرها في الموقع الإلكتروني حسب</w:t>
      </w:r>
      <w:r w:rsidR="00A36940">
        <w:rPr>
          <w:rFonts w:eastAsia="SimSun" w:hint="eastAsia"/>
          <w:rtl/>
        </w:rPr>
        <w:t> </w:t>
      </w:r>
      <w:r w:rsidRPr="008024EC">
        <w:rPr>
          <w:rFonts w:hint="cs"/>
          <w:rtl/>
        </w:rPr>
        <w:t>الحالة.</w:t>
      </w:r>
    </w:p>
    <w:p w:rsidR="00160041" w:rsidRPr="008024EC" w:rsidRDefault="001E6FFD" w:rsidP="008024EC">
      <w:pPr>
        <w:rPr>
          <w:rtl/>
        </w:rPr>
      </w:pPr>
      <w:r w:rsidRPr="008024EC">
        <w:rPr>
          <w:rFonts w:hint="cs"/>
          <w:rtl/>
        </w:rPr>
        <w:t>وفي هذا الإطار، ستدرج إحدى الإدارات كجزء من الإعلان عن وضع تخصيصات التردد في الخدمة، المعلومات التالية المتعلقة بتلك الحالات التي يُستعمل فيها ساتل موجود بالفعل في المدار لوضع تخصيصات التردد في الخدمة في موقع مداري بعينه ويكون هذا الساتل نفسه قد استُعمل لوضع تخصيصات التردد في الخدمة في موقع مداري آخر خلال فترة قصيرة من الوقت، مع ترك الموقع المداري السابق</w:t>
      </w:r>
      <w:r w:rsidR="00A36940">
        <w:rPr>
          <w:rFonts w:eastAsia="SimSun" w:hint="eastAsia"/>
          <w:rtl/>
        </w:rPr>
        <w:t> </w:t>
      </w:r>
      <w:r w:rsidRPr="008024EC">
        <w:rPr>
          <w:rFonts w:hint="cs"/>
          <w:rtl/>
        </w:rPr>
        <w:t>شاغراً.</w:t>
      </w:r>
    </w:p>
    <w:p w:rsidR="00160041" w:rsidRPr="008024EC" w:rsidRDefault="001E6FFD" w:rsidP="00A4045B">
      <w:pPr>
        <w:pStyle w:val="enumlev1"/>
        <w:keepNext/>
        <w:keepLines/>
        <w:rPr>
          <w:rtl/>
        </w:rPr>
      </w:pPr>
      <w:r w:rsidRPr="008024EC">
        <w:rPr>
          <w:rFonts w:hint="cs"/>
          <w:rtl/>
        </w:rPr>
        <w:lastRenderedPageBreak/>
        <w:t xml:space="preserve"> أ )</w:t>
      </w:r>
      <w:r w:rsidRPr="008024EC">
        <w:rPr>
          <w:rFonts w:hint="cs"/>
          <w:rtl/>
        </w:rPr>
        <w:tab/>
        <w:t>في أي موقع مداري ظل الساتل الموجود في المدار سابقاً؟</w:t>
      </w:r>
    </w:p>
    <w:p w:rsidR="00160041" w:rsidRPr="008024EC" w:rsidRDefault="001E6FFD" w:rsidP="00A4045B">
      <w:pPr>
        <w:pStyle w:val="enumlev1"/>
        <w:keepNext/>
        <w:keepLines/>
        <w:rPr>
          <w:rtl/>
        </w:rPr>
      </w:pPr>
      <w:r w:rsidRPr="008024EC">
        <w:rPr>
          <w:rFonts w:hint="cs"/>
          <w:rtl/>
        </w:rPr>
        <w:t>ب)</w:t>
      </w:r>
      <w:r w:rsidRPr="008024EC">
        <w:rPr>
          <w:rFonts w:hint="cs"/>
          <w:rtl/>
        </w:rPr>
        <w:tab/>
        <w:t>ما هي الشبكة الساتلية التي وُضعت في الخدمة في الموقع المداري السابق باستخدام ساتل موجود في المدار؟</w:t>
      </w:r>
    </w:p>
    <w:p w:rsidR="00160041" w:rsidRPr="008024EC" w:rsidRDefault="001E6FFD" w:rsidP="008024EC">
      <w:pPr>
        <w:pStyle w:val="enumlev1"/>
        <w:rPr>
          <w:rtl/>
        </w:rPr>
      </w:pPr>
      <w:r w:rsidRPr="008024EC">
        <w:rPr>
          <w:rFonts w:hint="cs"/>
          <w:rtl/>
        </w:rPr>
        <w:t>ج)</w:t>
      </w:r>
      <w:r w:rsidRPr="008024EC">
        <w:rPr>
          <w:rFonts w:hint="cs"/>
          <w:rtl/>
        </w:rPr>
        <w:tab/>
        <w:t>سبب تغيير موقع الشبكة الساتلية.</w:t>
      </w:r>
    </w:p>
    <w:p w:rsidR="008024EC" w:rsidRDefault="001E6FFD" w:rsidP="00E95E2A">
      <w:r w:rsidRPr="008024EC">
        <w:rPr>
          <w:rtl/>
        </w:rPr>
        <w:t xml:space="preserve">وفور استلام المعلومات المرسلة بموجب </w:t>
      </w:r>
      <w:r w:rsidRPr="008024EC">
        <w:rPr>
          <w:rFonts w:hint="cs"/>
          <w:rtl/>
        </w:rPr>
        <w:t>الإجراء أعلاه</w:t>
      </w:r>
      <w:r w:rsidRPr="008024EC">
        <w:rPr>
          <w:rtl/>
        </w:rPr>
        <w:t>، يتيح المكتب تلك المعلومات بأسرع ما يمكن وينشرها في النشرة الإعلامية الدولية للترددات الصادرة عن مكتب الاتصالات الراديوية</w:t>
      </w:r>
      <w:r w:rsidRPr="008024EC">
        <w:rPr>
          <w:rFonts w:hint="cs"/>
          <w:rtl/>
        </w:rPr>
        <w:t xml:space="preserve"> و/أو ينشرها في الموقع الإلكتروني حسب</w:t>
      </w:r>
      <w:r w:rsidR="00E95E2A">
        <w:rPr>
          <w:rFonts w:hint="eastAsia"/>
          <w:rtl/>
        </w:rPr>
        <w:t> </w:t>
      </w:r>
      <w:r w:rsidRPr="008024EC">
        <w:rPr>
          <w:rFonts w:hint="cs"/>
          <w:rtl/>
        </w:rPr>
        <w:t>الحالة.</w:t>
      </w:r>
    </w:p>
    <w:p w:rsidR="00857114" w:rsidRDefault="00857114" w:rsidP="00857114">
      <w:pPr>
        <w:rPr>
          <w:rtl/>
        </w:rPr>
      </w:pPr>
      <w:r>
        <w:rPr>
          <w:rFonts w:hint="cs"/>
          <w:rtl/>
        </w:rPr>
        <w:t>ومن المتوقع أن يساهم نشر المعلومات من خلال النشرة الإعلامية الدولية للترددات الصادرة عن المكتب و/أو الموقع الإلكتروني في الحد من حالات الوضع في الخدمة التي لا ترتبط "باستخدام مشروع" وأن يؤدي إلى كفاءة استعمال موارد الطيف/المدار.</w:t>
      </w:r>
    </w:p>
    <w:p w:rsidR="00857114" w:rsidRDefault="00857114" w:rsidP="00E95E2A">
      <w:pPr>
        <w:rPr>
          <w:rtl/>
        </w:rPr>
      </w:pPr>
      <w:r>
        <w:rPr>
          <w:rFonts w:hint="cs"/>
          <w:rtl/>
        </w:rPr>
        <w:t xml:space="preserve">وسيتم </w:t>
      </w:r>
      <w:r w:rsidRPr="00A172E5">
        <w:rPr>
          <w:rFonts w:hint="cs"/>
          <w:rtl/>
        </w:rPr>
        <w:t>تسجيل</w:t>
      </w:r>
      <w:r>
        <w:rPr>
          <w:rFonts w:hint="cs"/>
          <w:rtl/>
        </w:rPr>
        <w:t xml:space="preserve"> الإجراء أعلاه أو إقراره في محضر الجلسة العامة للمؤتمر</w:t>
      </w:r>
      <w:r w:rsidR="00E95E2A">
        <w:rPr>
          <w:rFonts w:hint="eastAsia"/>
          <w:rtl/>
        </w:rPr>
        <w:t> </w:t>
      </w:r>
      <w:r>
        <w:t>WRC-</w:t>
      </w:r>
      <w:r w:rsidRPr="008546D4">
        <w:t>15</w:t>
      </w:r>
      <w:r w:rsidR="00E21F3A">
        <w:rPr>
          <w:rFonts w:hint="cs"/>
          <w:rtl/>
        </w:rPr>
        <w:t>.</w:t>
      </w:r>
    </w:p>
    <w:p w:rsidR="00E21F3A" w:rsidRDefault="00E95E2A" w:rsidP="00E21F3A">
      <w:pPr>
        <w:pStyle w:val="Headingb"/>
      </w:pPr>
      <w:r>
        <w:rPr>
          <w:rFonts w:hint="cs"/>
          <w:rtl/>
        </w:rPr>
        <w:t>المقترح</w:t>
      </w:r>
      <w:bookmarkStart w:id="1" w:name="_GoBack"/>
      <w:bookmarkEnd w:id="1"/>
    </w:p>
    <w:p w:rsidR="00736A6C" w:rsidRDefault="001E6FFD">
      <w:pPr>
        <w:pStyle w:val="Proposal"/>
      </w:pPr>
      <w:r>
        <w:rPr>
          <w:u w:val="single"/>
        </w:rPr>
        <w:t>NOC</w:t>
      </w:r>
      <w:r>
        <w:tab/>
        <w:t>ARB/25A19A8/1</w:t>
      </w:r>
    </w:p>
    <w:p w:rsidR="00736A6C" w:rsidRDefault="00790CE7" w:rsidP="00790CE7">
      <w:pPr>
        <w:pStyle w:val="Volumetitle"/>
      </w:pPr>
      <w:r>
        <w:rPr>
          <w:rFonts w:hint="cs"/>
          <w:rtl/>
        </w:rPr>
        <w:t>لوائح الراديو</w:t>
      </w:r>
    </w:p>
    <w:p w:rsidR="00736A6C" w:rsidRDefault="00736A6C">
      <w:pPr>
        <w:pStyle w:val="Reasons"/>
        <w:rPr>
          <w:rtl/>
        </w:rPr>
      </w:pPr>
    </w:p>
    <w:p w:rsidR="00055FDB" w:rsidRPr="00055FDB" w:rsidRDefault="00055FDB" w:rsidP="00EB1F89">
      <w:pPr>
        <w:jc w:val="center"/>
      </w:pPr>
      <w:r>
        <w:rPr>
          <w:rtl/>
        </w:rPr>
        <w:t>___________</w:t>
      </w:r>
    </w:p>
    <w:sectPr w:rsidR="00055FDB" w:rsidRPr="00055FDB"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1E6FFD">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1E6FFD">
      <w:rPr>
        <w:noProof/>
        <w:lang w:val="es-ES"/>
      </w:rPr>
      <w:t>P:\ARA\ITU-R\CONF-R\CMR15\000\025ADD19ADD08A.docx</w:t>
    </w:r>
    <w:r w:rsidRPr="00CB4300">
      <w:fldChar w:fldCharType="end"/>
    </w:r>
    <w:r w:rsidRPr="00CB4300">
      <w:rPr>
        <w:lang w:val="es-ES"/>
      </w:rPr>
      <w:t xml:space="preserve">  (</w:t>
    </w:r>
    <w:r w:rsidR="001E6FFD">
      <w:rPr>
        <w:rFonts w:hint="cs"/>
        <w:rtl/>
        <w:lang w:val="es-ES"/>
      </w:rPr>
      <w:t>386945</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A36940">
      <w:rPr>
        <w:noProof/>
      </w:rPr>
      <w:t>15.10.15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1E6FFD">
    <w:pPr>
      <w:pStyle w:val="Footer"/>
      <w:rPr>
        <w:lang w:val="es-ES"/>
      </w:rPr>
    </w:pPr>
    <w:r>
      <w:fldChar w:fldCharType="begin"/>
    </w:r>
    <w:r w:rsidRPr="00CB4300">
      <w:rPr>
        <w:lang w:val="es-ES"/>
      </w:rPr>
      <w:instrText xml:space="preserve"> FILENAME \p \* MERGEFORMAT </w:instrText>
    </w:r>
    <w:r>
      <w:fldChar w:fldCharType="separate"/>
    </w:r>
    <w:r w:rsidR="001E6FFD">
      <w:rPr>
        <w:noProof/>
        <w:lang w:val="es-ES"/>
      </w:rPr>
      <w:t>P:\ARA\ITU-R\CONF-R\CMR15\000\025ADD19ADD08A.docx</w:t>
    </w:r>
    <w:r>
      <w:fldChar w:fldCharType="end"/>
    </w:r>
    <w:r w:rsidRPr="00CB4300">
      <w:rPr>
        <w:lang w:val="es-ES"/>
      </w:rPr>
      <w:t xml:space="preserve">   (</w:t>
    </w:r>
    <w:r w:rsidR="001E6FFD">
      <w:rPr>
        <w:rFonts w:hint="cs"/>
        <w:rtl/>
        <w:lang w:val="es-ES"/>
      </w:rPr>
      <w:t>386945</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A36940">
      <w:rPr>
        <w:noProof/>
      </w:rPr>
      <w:t>15.10.15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95E2A">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25(Add.19)(Add.8)-</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55FDB"/>
    <w:rsid w:val="00075A3F"/>
    <w:rsid w:val="000A1B16"/>
    <w:rsid w:val="000B5404"/>
    <w:rsid w:val="000D1708"/>
    <w:rsid w:val="000E2AFC"/>
    <w:rsid w:val="000E6D30"/>
    <w:rsid w:val="000F05F5"/>
    <w:rsid w:val="000F28EA"/>
    <w:rsid w:val="000F518F"/>
    <w:rsid w:val="0010081C"/>
    <w:rsid w:val="001013E3"/>
    <w:rsid w:val="0010363F"/>
    <w:rsid w:val="00123911"/>
    <w:rsid w:val="001464F2"/>
    <w:rsid w:val="00157CA5"/>
    <w:rsid w:val="001629EC"/>
    <w:rsid w:val="00167364"/>
    <w:rsid w:val="001903B2"/>
    <w:rsid w:val="001E190C"/>
    <w:rsid w:val="001E54F6"/>
    <w:rsid w:val="001E5A8C"/>
    <w:rsid w:val="001E6FFD"/>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04CB"/>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E55BF"/>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A6C"/>
    <w:rsid w:val="00736DCC"/>
    <w:rsid w:val="00741855"/>
    <w:rsid w:val="00742B73"/>
    <w:rsid w:val="00751251"/>
    <w:rsid w:val="007610E7"/>
    <w:rsid w:val="00764079"/>
    <w:rsid w:val="00770AA0"/>
    <w:rsid w:val="00771F7E"/>
    <w:rsid w:val="00773E9C"/>
    <w:rsid w:val="00776F6B"/>
    <w:rsid w:val="00777694"/>
    <w:rsid w:val="00786A7E"/>
    <w:rsid w:val="00790CE7"/>
    <w:rsid w:val="007A0802"/>
    <w:rsid w:val="007B1FCA"/>
    <w:rsid w:val="007C2C12"/>
    <w:rsid w:val="007C3CFA"/>
    <w:rsid w:val="007E0E8B"/>
    <w:rsid w:val="007F08CA"/>
    <w:rsid w:val="007F7FC3"/>
    <w:rsid w:val="008024EC"/>
    <w:rsid w:val="00810482"/>
    <w:rsid w:val="00817568"/>
    <w:rsid w:val="008204AC"/>
    <w:rsid w:val="00825220"/>
    <w:rsid w:val="008261C2"/>
    <w:rsid w:val="00830D96"/>
    <w:rsid w:val="008455BE"/>
    <w:rsid w:val="0085569D"/>
    <w:rsid w:val="00855B59"/>
    <w:rsid w:val="00857114"/>
    <w:rsid w:val="0085774F"/>
    <w:rsid w:val="008657CB"/>
    <w:rsid w:val="00866A15"/>
    <w:rsid w:val="0088384B"/>
    <w:rsid w:val="008911EC"/>
    <w:rsid w:val="00893E53"/>
    <w:rsid w:val="008A1137"/>
    <w:rsid w:val="008A1788"/>
    <w:rsid w:val="008A23A1"/>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36940"/>
    <w:rsid w:val="00A4045B"/>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97761"/>
    <w:rsid w:val="00BA3B54"/>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009"/>
    <w:rsid w:val="00DC29DD"/>
    <w:rsid w:val="00DC7C0E"/>
    <w:rsid w:val="00DF2A6A"/>
    <w:rsid w:val="00DF3B72"/>
    <w:rsid w:val="00E10821"/>
    <w:rsid w:val="00E165ED"/>
    <w:rsid w:val="00E21F3A"/>
    <w:rsid w:val="00E2489D"/>
    <w:rsid w:val="00E25C06"/>
    <w:rsid w:val="00E26520"/>
    <w:rsid w:val="00E343A3"/>
    <w:rsid w:val="00E431D4"/>
    <w:rsid w:val="00E51BFA"/>
    <w:rsid w:val="00E621A3"/>
    <w:rsid w:val="00E77D29"/>
    <w:rsid w:val="00E833BC"/>
    <w:rsid w:val="00E8580E"/>
    <w:rsid w:val="00E95E2A"/>
    <w:rsid w:val="00EA1B76"/>
    <w:rsid w:val="00EA77D7"/>
    <w:rsid w:val="00EB1F89"/>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728958C-AB24-41CA-A657-D549267D8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R15-WRC15-C-0025!A19-A8!MSW-A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8A295802-14C6-4EB3-A240-27E59CF13ABF}">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73824826-45DE-4DDE-A869-EAE6D7B68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351</Words>
  <Characters>1992</Characters>
  <Application>Microsoft Office Word</Application>
  <DocSecurity>0</DocSecurity>
  <Lines>49</Lines>
  <Paragraphs>27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R15-WRC15-C-0025!A19-A8!MSW-A</dc:title>
  <dc:creator>Documents Proposals Manager (DPM)</dc:creator>
  <cp:keywords>DPM_v5.2015.10.15_prod</cp:keywords>
  <cp:lastModifiedBy>Ajlouni, Nour</cp:lastModifiedBy>
  <cp:revision>21</cp:revision>
  <cp:lastPrinted>2011-11-07T13:53:00Z</cp:lastPrinted>
  <dcterms:created xsi:type="dcterms:W3CDTF">2015-10-15T12:18:00Z</dcterms:created>
  <dcterms:modified xsi:type="dcterms:W3CDTF">2015-10-15T13:40:00Z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