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107"/>
        <w:gridCol w:w="3120"/>
      </w:tblGrid>
      <w:tr w:rsidR="0090121B" w:rsidRPr="00DC456F" w:rsidTr="0050008E">
        <w:trPr>
          <w:cantSplit/>
        </w:trPr>
        <w:tc>
          <w:tcPr>
            <w:tcW w:w="6911" w:type="dxa"/>
            <w:gridSpan w:val="2"/>
          </w:tcPr>
          <w:p w:rsidR="0090121B" w:rsidRPr="00DC456F" w:rsidRDefault="005D46FB" w:rsidP="0002785D">
            <w:pPr>
              <w:spacing w:before="400" w:after="48" w:line="240" w:lineRule="atLeast"/>
              <w:rPr>
                <w:rFonts w:ascii="Verdana" w:hAnsi="Verdana"/>
                <w:position w:val="6"/>
              </w:rPr>
            </w:pPr>
            <w:bookmarkStart w:id="0" w:name="_GoBack"/>
            <w:bookmarkEnd w:id="0"/>
            <w:r w:rsidRPr="00DC456F">
              <w:rPr>
                <w:rFonts w:ascii="Verdana" w:hAnsi="Verdana" w:cs="Times"/>
                <w:b/>
                <w:position w:val="6"/>
                <w:sz w:val="20"/>
              </w:rPr>
              <w:t>Conferencia Mundial de Radiocomunicaciones (CMR-15)</w:t>
            </w:r>
            <w:r w:rsidRPr="00DC456F">
              <w:rPr>
                <w:rFonts w:ascii="Verdana" w:hAnsi="Verdana" w:cs="Times"/>
                <w:b/>
                <w:position w:val="6"/>
                <w:sz w:val="20"/>
              </w:rPr>
              <w:br/>
            </w:r>
            <w:r w:rsidRPr="00DC456F">
              <w:rPr>
                <w:rFonts w:ascii="Verdana" w:hAnsi="Verdana"/>
                <w:b/>
                <w:bCs/>
                <w:position w:val="6"/>
                <w:sz w:val="18"/>
                <w:szCs w:val="18"/>
              </w:rPr>
              <w:t>Ginebra, 2-27 de noviembre de 2015</w:t>
            </w:r>
          </w:p>
        </w:tc>
        <w:tc>
          <w:tcPr>
            <w:tcW w:w="3120" w:type="dxa"/>
          </w:tcPr>
          <w:p w:rsidR="0090121B" w:rsidRPr="00DC456F" w:rsidRDefault="00CE7431" w:rsidP="00CE7431">
            <w:pPr>
              <w:spacing w:before="0" w:line="240" w:lineRule="atLeast"/>
              <w:jc w:val="right"/>
            </w:pPr>
            <w:bookmarkStart w:id="1" w:name="ditulogo"/>
            <w:bookmarkEnd w:id="1"/>
            <w:r w:rsidRPr="00DC456F">
              <w:rPr>
                <w:noProof/>
                <w:lang w:val="en-US" w:eastAsia="zh-CN"/>
              </w:rPr>
              <w:drawing>
                <wp:inline distT="0" distB="0" distL="0" distR="0" wp14:anchorId="6706BFC8" wp14:editId="08F839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C456F" w:rsidTr="0050008E">
        <w:trPr>
          <w:cantSplit/>
        </w:trPr>
        <w:tc>
          <w:tcPr>
            <w:tcW w:w="6911" w:type="dxa"/>
            <w:gridSpan w:val="2"/>
            <w:tcBorders>
              <w:bottom w:val="single" w:sz="12" w:space="0" w:color="auto"/>
            </w:tcBorders>
          </w:tcPr>
          <w:p w:rsidR="0090121B" w:rsidRPr="00DC456F" w:rsidRDefault="00CE7431" w:rsidP="0090121B">
            <w:pPr>
              <w:spacing w:before="0" w:after="48" w:line="240" w:lineRule="atLeast"/>
              <w:rPr>
                <w:b/>
                <w:smallCaps/>
                <w:szCs w:val="24"/>
              </w:rPr>
            </w:pPr>
            <w:bookmarkStart w:id="2" w:name="dhead"/>
            <w:r w:rsidRPr="00DC456F">
              <w:rPr>
                <w:rFonts w:ascii="Verdana" w:hAnsi="Verdana"/>
                <w:b/>
                <w:smallCaps/>
                <w:sz w:val="20"/>
              </w:rPr>
              <w:t>UNIÓN INTERNACIONAL DE TELECOMUNICACIONES</w:t>
            </w:r>
          </w:p>
        </w:tc>
        <w:tc>
          <w:tcPr>
            <w:tcW w:w="3120" w:type="dxa"/>
            <w:tcBorders>
              <w:bottom w:val="single" w:sz="12" w:space="0" w:color="auto"/>
            </w:tcBorders>
          </w:tcPr>
          <w:p w:rsidR="0090121B" w:rsidRPr="00DC456F" w:rsidRDefault="0090121B" w:rsidP="0090121B">
            <w:pPr>
              <w:spacing w:before="0" w:line="240" w:lineRule="atLeast"/>
              <w:rPr>
                <w:rFonts w:ascii="Verdana" w:hAnsi="Verdana"/>
                <w:szCs w:val="24"/>
              </w:rPr>
            </w:pPr>
          </w:p>
        </w:tc>
      </w:tr>
      <w:tr w:rsidR="0090121B" w:rsidRPr="00DC456F" w:rsidTr="0090121B">
        <w:trPr>
          <w:cantSplit/>
        </w:trPr>
        <w:tc>
          <w:tcPr>
            <w:tcW w:w="6911" w:type="dxa"/>
            <w:gridSpan w:val="2"/>
            <w:tcBorders>
              <w:top w:val="single" w:sz="12" w:space="0" w:color="auto"/>
            </w:tcBorders>
          </w:tcPr>
          <w:p w:rsidR="0090121B" w:rsidRPr="00DC456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C456F" w:rsidRDefault="0090121B" w:rsidP="0090121B">
            <w:pPr>
              <w:spacing w:before="0" w:line="240" w:lineRule="atLeast"/>
              <w:rPr>
                <w:rFonts w:ascii="Verdana" w:hAnsi="Verdana"/>
                <w:sz w:val="20"/>
              </w:rPr>
            </w:pPr>
          </w:p>
        </w:tc>
      </w:tr>
      <w:tr w:rsidR="0090121B" w:rsidRPr="00DC456F" w:rsidTr="006A0576">
        <w:trPr>
          <w:cantSplit/>
        </w:trPr>
        <w:tc>
          <w:tcPr>
            <w:tcW w:w="6804" w:type="dxa"/>
            <w:shd w:val="clear" w:color="auto" w:fill="auto"/>
          </w:tcPr>
          <w:p w:rsidR="0090121B" w:rsidRPr="00DC456F" w:rsidRDefault="00AE658F" w:rsidP="0045384C">
            <w:pPr>
              <w:spacing w:before="0"/>
              <w:rPr>
                <w:rFonts w:ascii="Verdana" w:hAnsi="Verdana"/>
                <w:b/>
                <w:sz w:val="20"/>
              </w:rPr>
            </w:pPr>
            <w:r w:rsidRPr="00DC456F">
              <w:rPr>
                <w:rFonts w:ascii="Verdana" w:hAnsi="Verdana"/>
                <w:b/>
                <w:sz w:val="20"/>
              </w:rPr>
              <w:t>SESIÓN PLENARIA</w:t>
            </w:r>
          </w:p>
        </w:tc>
        <w:tc>
          <w:tcPr>
            <w:tcW w:w="3227" w:type="dxa"/>
            <w:gridSpan w:val="2"/>
            <w:shd w:val="clear" w:color="auto" w:fill="auto"/>
          </w:tcPr>
          <w:p w:rsidR="0090121B" w:rsidRPr="00DC456F" w:rsidRDefault="00AE658F" w:rsidP="0045384C">
            <w:pPr>
              <w:spacing w:before="0"/>
              <w:rPr>
                <w:rFonts w:ascii="Verdana" w:hAnsi="Verdana"/>
                <w:sz w:val="20"/>
              </w:rPr>
            </w:pPr>
            <w:r w:rsidRPr="00DC456F">
              <w:rPr>
                <w:rFonts w:ascii="Verdana" w:eastAsia="SimSun" w:hAnsi="Verdana" w:cs="Traditional Arabic"/>
                <w:b/>
                <w:sz w:val="20"/>
              </w:rPr>
              <w:t>Addéndum 5 al</w:t>
            </w:r>
            <w:r w:rsidRPr="00DC456F">
              <w:rPr>
                <w:rFonts w:ascii="Verdana" w:eastAsia="SimSun" w:hAnsi="Verdana" w:cs="Traditional Arabic"/>
                <w:b/>
                <w:sz w:val="20"/>
              </w:rPr>
              <w:br/>
              <w:t>Documento 25(Add.19)</w:t>
            </w:r>
            <w:r w:rsidR="0090121B" w:rsidRPr="00DC456F">
              <w:rPr>
                <w:rFonts w:ascii="Verdana" w:hAnsi="Verdana"/>
                <w:b/>
                <w:sz w:val="20"/>
              </w:rPr>
              <w:t>-</w:t>
            </w:r>
            <w:r w:rsidRPr="00DC456F">
              <w:rPr>
                <w:rFonts w:ascii="Verdana" w:hAnsi="Verdana"/>
                <w:b/>
                <w:sz w:val="20"/>
              </w:rPr>
              <w:t>S</w:t>
            </w:r>
          </w:p>
        </w:tc>
      </w:tr>
      <w:bookmarkEnd w:id="2"/>
      <w:tr w:rsidR="000A5B9A" w:rsidRPr="00DC456F" w:rsidTr="006A0576">
        <w:trPr>
          <w:cantSplit/>
        </w:trPr>
        <w:tc>
          <w:tcPr>
            <w:tcW w:w="6804" w:type="dxa"/>
            <w:shd w:val="clear" w:color="auto" w:fill="auto"/>
          </w:tcPr>
          <w:p w:rsidR="000A5B9A" w:rsidRPr="00DC456F" w:rsidRDefault="000A5B9A" w:rsidP="0045384C">
            <w:pPr>
              <w:spacing w:before="0" w:after="48"/>
              <w:rPr>
                <w:rFonts w:ascii="Verdana" w:hAnsi="Verdana"/>
                <w:b/>
                <w:smallCaps/>
                <w:sz w:val="20"/>
              </w:rPr>
            </w:pPr>
          </w:p>
        </w:tc>
        <w:tc>
          <w:tcPr>
            <w:tcW w:w="3227" w:type="dxa"/>
            <w:gridSpan w:val="2"/>
            <w:shd w:val="clear" w:color="auto" w:fill="auto"/>
          </w:tcPr>
          <w:p w:rsidR="000A5B9A" w:rsidRPr="00DC456F" w:rsidRDefault="000A5B9A" w:rsidP="0045384C">
            <w:pPr>
              <w:spacing w:before="0"/>
              <w:rPr>
                <w:rFonts w:ascii="Verdana" w:hAnsi="Verdana"/>
                <w:b/>
                <w:sz w:val="20"/>
              </w:rPr>
            </w:pPr>
            <w:r w:rsidRPr="00DC456F">
              <w:rPr>
                <w:rFonts w:ascii="Verdana" w:hAnsi="Verdana"/>
                <w:b/>
                <w:sz w:val="20"/>
              </w:rPr>
              <w:t>10 de septiembre de 2015</w:t>
            </w:r>
          </w:p>
        </w:tc>
      </w:tr>
      <w:tr w:rsidR="000A5B9A" w:rsidRPr="00DC456F" w:rsidTr="006A0576">
        <w:trPr>
          <w:cantSplit/>
        </w:trPr>
        <w:tc>
          <w:tcPr>
            <w:tcW w:w="6804" w:type="dxa"/>
          </w:tcPr>
          <w:p w:rsidR="000A5B9A" w:rsidRPr="00DC456F" w:rsidRDefault="000A5B9A" w:rsidP="0045384C">
            <w:pPr>
              <w:spacing w:before="0" w:after="48"/>
              <w:rPr>
                <w:rFonts w:ascii="Verdana" w:hAnsi="Verdana"/>
                <w:b/>
                <w:smallCaps/>
                <w:sz w:val="20"/>
              </w:rPr>
            </w:pPr>
          </w:p>
        </w:tc>
        <w:tc>
          <w:tcPr>
            <w:tcW w:w="3227" w:type="dxa"/>
            <w:gridSpan w:val="2"/>
          </w:tcPr>
          <w:p w:rsidR="000A5B9A" w:rsidRPr="00DC456F" w:rsidRDefault="000A5B9A" w:rsidP="0045384C">
            <w:pPr>
              <w:spacing w:before="0"/>
              <w:rPr>
                <w:rFonts w:ascii="Verdana" w:hAnsi="Verdana"/>
                <w:b/>
                <w:sz w:val="20"/>
              </w:rPr>
            </w:pPr>
            <w:r w:rsidRPr="00DC456F">
              <w:rPr>
                <w:rFonts w:ascii="Verdana" w:hAnsi="Verdana"/>
                <w:b/>
                <w:sz w:val="20"/>
              </w:rPr>
              <w:t>Original: árabe</w:t>
            </w:r>
          </w:p>
        </w:tc>
      </w:tr>
      <w:tr w:rsidR="000A5B9A" w:rsidRPr="00DC456F" w:rsidTr="006744FC">
        <w:trPr>
          <w:cantSplit/>
        </w:trPr>
        <w:tc>
          <w:tcPr>
            <w:tcW w:w="10031" w:type="dxa"/>
            <w:gridSpan w:val="3"/>
          </w:tcPr>
          <w:p w:rsidR="000A5B9A" w:rsidRPr="00DC456F" w:rsidRDefault="000A5B9A" w:rsidP="0045384C">
            <w:pPr>
              <w:spacing w:before="0"/>
              <w:rPr>
                <w:rFonts w:ascii="Verdana" w:hAnsi="Verdana"/>
                <w:b/>
                <w:sz w:val="20"/>
              </w:rPr>
            </w:pPr>
          </w:p>
        </w:tc>
      </w:tr>
      <w:tr w:rsidR="000A5B9A" w:rsidRPr="00DC456F" w:rsidTr="0050008E">
        <w:trPr>
          <w:cantSplit/>
        </w:trPr>
        <w:tc>
          <w:tcPr>
            <w:tcW w:w="10031" w:type="dxa"/>
            <w:gridSpan w:val="3"/>
          </w:tcPr>
          <w:p w:rsidR="000A5B9A" w:rsidRPr="00DC456F" w:rsidRDefault="000A5B9A" w:rsidP="000A5B9A">
            <w:pPr>
              <w:pStyle w:val="Source"/>
            </w:pPr>
            <w:bookmarkStart w:id="3" w:name="dsource" w:colFirst="0" w:colLast="0"/>
            <w:r w:rsidRPr="00DC456F">
              <w:t>Propuestas Comunes de los Estados Árabes</w:t>
            </w:r>
          </w:p>
        </w:tc>
      </w:tr>
      <w:tr w:rsidR="000A5B9A" w:rsidRPr="00DC456F" w:rsidTr="0050008E">
        <w:trPr>
          <w:cantSplit/>
        </w:trPr>
        <w:tc>
          <w:tcPr>
            <w:tcW w:w="10031" w:type="dxa"/>
            <w:gridSpan w:val="3"/>
          </w:tcPr>
          <w:p w:rsidR="000A5B9A" w:rsidRPr="00DC456F" w:rsidRDefault="00BB0EDF" w:rsidP="00BB0EDF">
            <w:pPr>
              <w:pStyle w:val="Title1"/>
            </w:pPr>
            <w:bookmarkStart w:id="4" w:name="dtitle1" w:colFirst="0" w:colLast="0"/>
            <w:bookmarkEnd w:id="3"/>
            <w:r w:rsidRPr="00DC456F">
              <w:t>PROPUESTAS PARA LOS TRABAJOS DE LA CONFERENCIA</w:t>
            </w:r>
          </w:p>
        </w:tc>
      </w:tr>
      <w:tr w:rsidR="000A5B9A" w:rsidRPr="00DC456F" w:rsidTr="0050008E">
        <w:trPr>
          <w:cantSplit/>
        </w:trPr>
        <w:tc>
          <w:tcPr>
            <w:tcW w:w="10031" w:type="dxa"/>
            <w:gridSpan w:val="3"/>
          </w:tcPr>
          <w:p w:rsidR="000A5B9A" w:rsidRPr="00DC456F" w:rsidRDefault="000A5B9A" w:rsidP="000A5B9A">
            <w:pPr>
              <w:pStyle w:val="Title2"/>
            </w:pPr>
            <w:bookmarkStart w:id="5" w:name="dtitle2" w:colFirst="0" w:colLast="0"/>
            <w:bookmarkEnd w:id="4"/>
          </w:p>
        </w:tc>
      </w:tr>
      <w:tr w:rsidR="000A5B9A" w:rsidRPr="00DC456F" w:rsidTr="0050008E">
        <w:trPr>
          <w:cantSplit/>
        </w:trPr>
        <w:tc>
          <w:tcPr>
            <w:tcW w:w="10031" w:type="dxa"/>
            <w:gridSpan w:val="3"/>
          </w:tcPr>
          <w:p w:rsidR="000A5B9A" w:rsidRPr="00DC456F" w:rsidRDefault="000A5B9A" w:rsidP="000A5B9A">
            <w:pPr>
              <w:pStyle w:val="Agendaitem"/>
            </w:pPr>
            <w:bookmarkStart w:id="6" w:name="dtitle3" w:colFirst="0" w:colLast="0"/>
            <w:bookmarkEnd w:id="5"/>
            <w:r w:rsidRPr="00DC456F">
              <w:t>Punto 7(E) del orden del día</w:t>
            </w:r>
          </w:p>
        </w:tc>
      </w:tr>
    </w:tbl>
    <w:bookmarkEnd w:id="6"/>
    <w:p w:rsidR="001C0E40" w:rsidRPr="00DC456F" w:rsidRDefault="00DC456F" w:rsidP="00512F4E">
      <w:r w:rsidRPr="00DC456F">
        <w:t>7</w:t>
      </w:r>
      <w:r w:rsidRPr="00DC456F">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DC456F">
        <w:rPr>
          <w:b/>
          <w:bCs/>
        </w:rPr>
        <w:t>86 (Rev.CMR-07)</w:t>
      </w:r>
      <w:r w:rsidRPr="00DC456F">
        <w:t>, para facilitar la utilización racional, eficaz y económica de las frecuencias radioeléctricas y toda órbita asociada, incluida la órbita de los satélites geoestacionarios;</w:t>
      </w:r>
    </w:p>
    <w:p w:rsidR="001C0E40" w:rsidRPr="00DC456F" w:rsidRDefault="00DC456F">
      <w:r w:rsidRPr="00DC456F">
        <w:t xml:space="preserve">7(E) </w:t>
      </w:r>
      <w:r w:rsidRPr="00DC456F">
        <w:tab/>
        <w:t>Tema E – Avería de un satélite durante el periodo de 90 días posterior a su puesta en servicio</w:t>
      </w:r>
    </w:p>
    <w:p w:rsidR="00DC456F" w:rsidRPr="00DC456F" w:rsidRDefault="00DC456F"/>
    <w:p w:rsidR="00863684" w:rsidRPr="00DC456F" w:rsidRDefault="00863684" w:rsidP="00DB688C">
      <w:pPr>
        <w:rPr>
          <w:color w:val="000000"/>
        </w:rPr>
      </w:pPr>
      <w:r w:rsidRPr="00DC456F">
        <w:t xml:space="preserve">Basándose en los resultados de los estudios del UIT-R sobre este tema, las </w:t>
      </w:r>
      <w:r w:rsidR="00DB688C">
        <w:t>A</w:t>
      </w:r>
      <w:r w:rsidRPr="00DC456F">
        <w:t>dministraciones de los Estados Árabes proponen que se añada una nota al número 11.44B del Reglamento de Radiocomunicaciones, en la que se indique que, en caso de fallo de un satélite durante el periodo de puesta en servicio</w:t>
      </w:r>
      <w:r w:rsidRPr="00DC456F">
        <w:rPr>
          <w:color w:val="000000"/>
        </w:rPr>
        <w:t>, la administración notificante puede notificar el caso a la BR con todas las pruebas, cuanto antes pero no más tarde de sesenta días después del fallo.</w:t>
      </w:r>
    </w:p>
    <w:p w:rsidR="00863684" w:rsidRPr="00DC456F" w:rsidRDefault="00863684" w:rsidP="00DC456F">
      <w:r w:rsidRPr="00DC456F">
        <w:rPr>
          <w:color w:val="000000"/>
        </w:rPr>
        <w:t xml:space="preserve">La BR examinará las pruebas y </w:t>
      </w:r>
      <w:r w:rsidRPr="00DC456F">
        <w:t>preparará un informe al respecto</w:t>
      </w:r>
      <w:r w:rsidRPr="00DC456F">
        <w:rPr>
          <w:color w:val="000000"/>
        </w:rPr>
        <w:t xml:space="preserve"> con sus investigaciones y conclusiones. La Junta del Reglamento de Radiocomunicaciones investigará el caso a fondo, teniendo en cuenta todas las pruebas, incluido el informe de la BR. La Junta tomará una decisión sobre el caso según proceda. Las averías de los satélite</w:t>
      </w:r>
      <w:r w:rsidR="00DC456F">
        <w:rPr>
          <w:color w:val="000000"/>
        </w:rPr>
        <w:t>s</w:t>
      </w:r>
      <w:r w:rsidRPr="00DC456F">
        <w:rPr>
          <w:color w:val="000000"/>
        </w:rPr>
        <w:t xml:space="preserve"> durante el periodo de puesta en servicio se estudiarán caso por caso.</w:t>
      </w:r>
    </w:p>
    <w:p w:rsidR="00DB688C" w:rsidRDefault="00DB688C" w:rsidP="00DC456F">
      <w:pPr>
        <w:pStyle w:val="Headingb"/>
      </w:pPr>
    </w:p>
    <w:p w:rsidR="00363A65" w:rsidRPr="00DC456F" w:rsidRDefault="00863684" w:rsidP="00DC456F">
      <w:pPr>
        <w:pStyle w:val="Headingb"/>
      </w:pPr>
      <w:r w:rsidRPr="00DC456F">
        <w:t>Propuesta</w:t>
      </w:r>
    </w:p>
    <w:p w:rsidR="008750A8" w:rsidRPr="00DC456F" w:rsidRDefault="008750A8" w:rsidP="008750A8">
      <w:pPr>
        <w:tabs>
          <w:tab w:val="clear" w:pos="1134"/>
          <w:tab w:val="clear" w:pos="1871"/>
          <w:tab w:val="clear" w:pos="2268"/>
        </w:tabs>
        <w:overflowPunct/>
        <w:autoSpaceDE/>
        <w:autoSpaceDN/>
        <w:adjustRightInd/>
        <w:spacing w:before="0"/>
        <w:textAlignment w:val="auto"/>
      </w:pPr>
      <w:r w:rsidRPr="00DC456F">
        <w:br w:type="page"/>
      </w:r>
    </w:p>
    <w:p w:rsidR="00F008F3" w:rsidRPr="00DC456F" w:rsidRDefault="00DC456F" w:rsidP="001A409B">
      <w:pPr>
        <w:pStyle w:val="ArtNo"/>
      </w:pPr>
      <w:r w:rsidRPr="00DC456F">
        <w:lastRenderedPageBreak/>
        <w:t xml:space="preserve">ARTÍCULO </w:t>
      </w:r>
      <w:r w:rsidRPr="00DC456F">
        <w:rPr>
          <w:rStyle w:val="href"/>
        </w:rPr>
        <w:t>11</w:t>
      </w:r>
    </w:p>
    <w:p w:rsidR="00F008F3" w:rsidRPr="00DC456F" w:rsidRDefault="00DC456F" w:rsidP="00FD75A4">
      <w:pPr>
        <w:pStyle w:val="Arttitle"/>
        <w:spacing w:before="120"/>
        <w:rPr>
          <w:bCs/>
        </w:rPr>
      </w:pPr>
      <w:r w:rsidRPr="00DC456F">
        <w:t>Notificación e inscripción de asignaciones</w:t>
      </w:r>
      <w:r w:rsidRPr="00DC456F">
        <w:br/>
        <w:t>de frecuencia</w:t>
      </w:r>
      <w:r w:rsidRPr="00DC456F">
        <w:rPr>
          <w:rStyle w:val="FootnoteReference"/>
          <w:bCs/>
          <w:szCs w:val="18"/>
        </w:rPr>
        <w:t>1</w:t>
      </w:r>
      <w:r w:rsidRPr="00DC456F">
        <w:rPr>
          <w:bCs/>
          <w:position w:val="6"/>
          <w:sz w:val="18"/>
          <w:szCs w:val="18"/>
        </w:rPr>
        <w:t xml:space="preserve">, </w:t>
      </w:r>
      <w:r w:rsidRPr="00DC456F">
        <w:rPr>
          <w:rStyle w:val="FootnoteReference"/>
          <w:bCs/>
          <w:szCs w:val="18"/>
        </w:rPr>
        <w:t>2</w:t>
      </w:r>
      <w:r w:rsidRPr="00DC456F">
        <w:rPr>
          <w:bCs/>
          <w:position w:val="6"/>
          <w:sz w:val="18"/>
          <w:szCs w:val="18"/>
        </w:rPr>
        <w:t xml:space="preserve">, </w:t>
      </w:r>
      <w:r w:rsidRPr="00DC456F">
        <w:rPr>
          <w:rStyle w:val="FootnoteReference"/>
          <w:bCs/>
          <w:szCs w:val="18"/>
        </w:rPr>
        <w:t>3</w:t>
      </w:r>
      <w:r w:rsidRPr="00DC456F">
        <w:rPr>
          <w:bCs/>
          <w:position w:val="6"/>
          <w:sz w:val="18"/>
          <w:szCs w:val="18"/>
        </w:rPr>
        <w:t xml:space="preserve">, </w:t>
      </w:r>
      <w:r w:rsidRPr="00DC456F">
        <w:rPr>
          <w:rStyle w:val="FootnoteReference"/>
          <w:bCs/>
          <w:szCs w:val="18"/>
        </w:rPr>
        <w:t>4</w:t>
      </w:r>
      <w:r w:rsidRPr="00DC456F">
        <w:rPr>
          <w:bCs/>
          <w:position w:val="6"/>
          <w:sz w:val="18"/>
          <w:szCs w:val="18"/>
        </w:rPr>
        <w:t xml:space="preserve">, </w:t>
      </w:r>
      <w:r w:rsidRPr="00DC456F">
        <w:rPr>
          <w:rStyle w:val="FootnoteReference"/>
          <w:bCs/>
          <w:szCs w:val="18"/>
        </w:rPr>
        <w:t>5</w:t>
      </w:r>
      <w:r w:rsidRPr="00DC456F">
        <w:rPr>
          <w:bCs/>
          <w:position w:val="6"/>
          <w:sz w:val="18"/>
          <w:szCs w:val="18"/>
        </w:rPr>
        <w:t xml:space="preserve">, </w:t>
      </w:r>
      <w:r w:rsidRPr="00DC456F">
        <w:rPr>
          <w:rStyle w:val="FootnoteReference"/>
          <w:bCs/>
          <w:szCs w:val="18"/>
        </w:rPr>
        <w:t>6</w:t>
      </w:r>
      <w:r w:rsidRPr="00DC456F">
        <w:rPr>
          <w:bCs/>
          <w:position w:val="6"/>
          <w:sz w:val="18"/>
          <w:szCs w:val="18"/>
        </w:rPr>
        <w:t xml:space="preserve">, </w:t>
      </w:r>
      <w:r w:rsidRPr="00DC456F">
        <w:rPr>
          <w:rStyle w:val="FootnoteReference"/>
          <w:bCs/>
          <w:szCs w:val="18"/>
        </w:rPr>
        <w:t>7,</w:t>
      </w:r>
      <w:r w:rsidRPr="00DC456F">
        <w:rPr>
          <w:bCs/>
          <w:position w:val="6"/>
          <w:sz w:val="18"/>
          <w:szCs w:val="18"/>
        </w:rPr>
        <w:t xml:space="preserve"> 7</w:t>
      </w:r>
      <w:r w:rsidRPr="00DC456F">
        <w:rPr>
          <w:bCs/>
          <w:i/>
          <w:iCs/>
          <w:position w:val="6"/>
          <w:sz w:val="18"/>
          <w:szCs w:val="18"/>
        </w:rPr>
        <w:t>bis</w:t>
      </w:r>
      <w:r w:rsidRPr="00DC456F">
        <w:rPr>
          <w:b w:val="0"/>
          <w:sz w:val="16"/>
        </w:rPr>
        <w:t>     (CMR</w:t>
      </w:r>
      <w:r w:rsidRPr="00DC456F">
        <w:rPr>
          <w:b w:val="0"/>
          <w:sz w:val="16"/>
        </w:rPr>
        <w:noBreakHyphen/>
        <w:t>12)</w:t>
      </w:r>
    </w:p>
    <w:p w:rsidR="001D34FF" w:rsidRPr="00DC456F" w:rsidRDefault="00DC456F" w:rsidP="00500BDB">
      <w:pPr>
        <w:pStyle w:val="Section1"/>
      </w:pPr>
      <w:r w:rsidRPr="00DC456F">
        <w:t>Sección II – Examen de las notificaciones e inscripción de las asignaciones</w:t>
      </w:r>
      <w:r w:rsidRPr="00DC456F">
        <w:br/>
        <w:t>de frecuencia en el Registro</w:t>
      </w:r>
    </w:p>
    <w:p w:rsidR="00352B08" w:rsidRPr="00DC456F" w:rsidRDefault="00DC456F">
      <w:pPr>
        <w:pStyle w:val="Proposal"/>
      </w:pPr>
      <w:r w:rsidRPr="00DC456F">
        <w:t>MOD</w:t>
      </w:r>
      <w:r w:rsidRPr="00DC456F">
        <w:tab/>
        <w:t>ARB/25A19A5/1</w:t>
      </w:r>
    </w:p>
    <w:p w:rsidR="00F008F3" w:rsidRPr="00DC456F" w:rsidRDefault="00DC456F" w:rsidP="00DC456F">
      <w:pPr>
        <w:pStyle w:val="Note"/>
        <w:rPr>
          <w:color w:val="000000"/>
          <w:sz w:val="16"/>
          <w:szCs w:val="16"/>
        </w:rPr>
      </w:pPr>
      <w:r w:rsidRPr="00DC456F">
        <w:rPr>
          <w:rStyle w:val="Artdef"/>
          <w:szCs w:val="24"/>
        </w:rPr>
        <w:t>11.44B</w:t>
      </w:r>
      <w:r w:rsidRPr="00DC456F">
        <w:rPr>
          <w:szCs w:val="24"/>
        </w:rPr>
        <w:tab/>
        <w:t xml:space="preserve">Se considerará que una asignación de frecuencias a una estación espacial en la órbita de los satélites </w:t>
      </w:r>
      <w:r w:rsidRPr="00DC456F">
        <w:t>geoestacionarios</w:t>
      </w:r>
      <w:r w:rsidRPr="00DC456F">
        <w:rPr>
          <w:szCs w:val="24"/>
        </w:rPr>
        <w:t xml:space="preserve">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Author">
        <w:r w:rsidRPr="00DC456F">
          <w:rPr>
            <w:rStyle w:val="FootnoteReference"/>
          </w:rPr>
          <w:t>21</w:t>
        </w:r>
        <w:r w:rsidRPr="00DC456F">
          <w:rPr>
            <w:rStyle w:val="FootnoteReference"/>
            <w:i/>
            <w:iCs/>
          </w:rPr>
          <w:t>bis</w:t>
        </w:r>
      </w:ins>
      <w:r w:rsidRPr="00DC456F">
        <w:t>.</w:t>
      </w:r>
      <w:r w:rsidRPr="00DC456F">
        <w:rPr>
          <w:sz w:val="16"/>
        </w:rPr>
        <w:t>    (CMR</w:t>
      </w:r>
      <w:r w:rsidRPr="00DC456F">
        <w:rPr>
          <w:sz w:val="16"/>
        </w:rPr>
        <w:noBreakHyphen/>
      </w:r>
      <w:del w:id="8" w:author="Turnbull, Karen" w:date="2015-10-06T14:54:00Z">
        <w:r w:rsidRPr="00DC456F" w:rsidDel="002B1507">
          <w:rPr>
            <w:sz w:val="16"/>
          </w:rPr>
          <w:delText>12</w:delText>
        </w:r>
      </w:del>
      <w:ins w:id="9" w:author="Turnbull, Karen" w:date="2015-10-06T14:54:00Z">
        <w:r w:rsidRPr="00DC456F">
          <w:rPr>
            <w:sz w:val="16"/>
          </w:rPr>
          <w:t>15</w:t>
        </w:r>
      </w:ins>
      <w:r w:rsidRPr="00DC456F">
        <w:rPr>
          <w:sz w:val="16"/>
        </w:rPr>
        <w:t>)</w:t>
      </w:r>
    </w:p>
    <w:p w:rsidR="00352B08" w:rsidRPr="00DC456F" w:rsidRDefault="00352B08">
      <w:pPr>
        <w:pStyle w:val="Reasons"/>
      </w:pPr>
    </w:p>
    <w:p w:rsidR="00352B08" w:rsidRPr="00DC456F" w:rsidRDefault="00DC456F">
      <w:pPr>
        <w:pStyle w:val="Proposal"/>
      </w:pPr>
      <w:r w:rsidRPr="00DC456F">
        <w:t>ADD</w:t>
      </w:r>
      <w:r w:rsidRPr="00DC456F">
        <w:tab/>
        <w:t>ARB/25A19A5/2</w:t>
      </w:r>
    </w:p>
    <w:p w:rsidR="00863684" w:rsidRPr="00DC456F" w:rsidRDefault="00863684">
      <w:r w:rsidRPr="00DC456F">
        <w:t>_______________</w:t>
      </w:r>
    </w:p>
    <w:p w:rsidR="00352B08" w:rsidRDefault="00863684" w:rsidP="00DC456F">
      <w:pPr>
        <w:pStyle w:val="FootnoteText"/>
        <w:rPr>
          <w:sz w:val="16"/>
          <w:szCs w:val="16"/>
        </w:rPr>
      </w:pPr>
      <w:r w:rsidRPr="00DC456F">
        <w:rPr>
          <w:rStyle w:val="FootnoteReference"/>
          <w:rFonts w:eastAsia="SimSun"/>
        </w:rPr>
        <w:t>21</w:t>
      </w:r>
      <w:r w:rsidRPr="00DC456F">
        <w:rPr>
          <w:rStyle w:val="FootnoteReference"/>
          <w:rFonts w:eastAsia="SimSun"/>
          <w:i/>
          <w:iCs/>
        </w:rPr>
        <w:t>bis</w:t>
      </w:r>
      <w:r w:rsidRPr="00DC456F">
        <w:rPr>
          <w:rFonts w:eastAsia="SimSun"/>
        </w:rPr>
        <w:t xml:space="preserve">  </w:t>
      </w:r>
      <w:r w:rsidRPr="00DC456F">
        <w:rPr>
          <w:rStyle w:val="Artdef"/>
        </w:rPr>
        <w:t>11.44.B1</w:t>
      </w:r>
      <w:r w:rsidRPr="00DC456F">
        <w:tab/>
        <w:t xml:space="preserve">En el caso de una estación espacial en la órbita de los satélites geoestacionarios que experimente un fallo durante el periodo de 90 días posterior a la puesta en servicio de una asignación de frecuencias notificada con arreglo al número </w:t>
      </w:r>
      <w:r w:rsidRPr="00DC456F">
        <w:rPr>
          <w:b/>
          <w:bCs/>
        </w:rPr>
        <w:t>11.44B</w:t>
      </w:r>
      <w:r w:rsidRPr="00DC456F">
        <w:t>, que impida técnicamente a la estación espacial transmitir o recibir en la asignación de frecuencias notificada, la administración notificante podrá informar a la Oficina, dentro de los sesenta días siguientes a la fecha en que se produjo el fallo. La Oficina examinará las pruebas que facilite la administración respecto del fallo. La Oficina analizará las pruebas, preparará un informe y solicitará a la Junta que tome una decisión al respecto. La Junta decidirá si considera finalizado el periodo de noventa días de puesta en servicio, según proceda.</w:t>
      </w:r>
      <w:r w:rsidRPr="00DC456F">
        <w:rPr>
          <w:sz w:val="16"/>
          <w:szCs w:val="16"/>
        </w:rPr>
        <w:t>     (CMR</w:t>
      </w:r>
      <w:r w:rsidRPr="00DC456F">
        <w:rPr>
          <w:sz w:val="16"/>
          <w:szCs w:val="16"/>
        </w:rPr>
        <w:noBreakHyphen/>
        <w:t>15)</w:t>
      </w:r>
    </w:p>
    <w:p w:rsidR="006A0576" w:rsidRDefault="006A0576" w:rsidP="006A0576">
      <w:pPr>
        <w:pStyle w:val="Reasons"/>
      </w:pPr>
    </w:p>
    <w:p w:rsidR="006A0576" w:rsidRDefault="006A0576" w:rsidP="0032202E">
      <w:pPr>
        <w:pStyle w:val="Reasons"/>
      </w:pPr>
    </w:p>
    <w:p w:rsidR="006A0576" w:rsidRDefault="006A0576">
      <w:pPr>
        <w:jc w:val="center"/>
      </w:pPr>
      <w:r>
        <w:t>______________</w:t>
      </w:r>
    </w:p>
    <w:p w:rsidR="006A0576" w:rsidRPr="00DC456F" w:rsidRDefault="006A0576" w:rsidP="006A0576">
      <w:pPr>
        <w:pStyle w:val="Reasons"/>
      </w:pPr>
    </w:p>
    <w:sectPr w:rsidR="006A0576" w:rsidRPr="00DC456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A0576" w:rsidRDefault="0077084A">
    <w:pPr>
      <w:ind w:right="360"/>
    </w:pPr>
    <w:r>
      <w:fldChar w:fldCharType="begin"/>
    </w:r>
    <w:r w:rsidRPr="006A0576">
      <w:instrText xml:space="preserve"> FILENAME \p  \* MERGEFORMAT </w:instrText>
    </w:r>
    <w:r>
      <w:fldChar w:fldCharType="separate"/>
    </w:r>
    <w:r w:rsidR="006A0576">
      <w:rPr>
        <w:noProof/>
      </w:rPr>
      <w:t>P:\ESP\ITU-R\CONF-R\CMR15\000\025ADD19ADD05S.docx</w:t>
    </w:r>
    <w:r>
      <w:fldChar w:fldCharType="end"/>
    </w:r>
    <w:r w:rsidRPr="006A0576">
      <w:tab/>
    </w:r>
    <w:r>
      <w:fldChar w:fldCharType="begin"/>
    </w:r>
    <w:r>
      <w:instrText xml:space="preserve"> SAVEDATE \@ DD.MM.YY </w:instrText>
    </w:r>
    <w:r>
      <w:fldChar w:fldCharType="separate"/>
    </w:r>
    <w:r w:rsidR="006A0576">
      <w:rPr>
        <w:noProof/>
      </w:rPr>
      <w:t>23.10.15</w:t>
    </w:r>
    <w:r>
      <w:fldChar w:fldCharType="end"/>
    </w:r>
    <w:r w:rsidRPr="006A0576">
      <w:tab/>
    </w:r>
    <w:r>
      <w:fldChar w:fldCharType="begin"/>
    </w:r>
    <w:r>
      <w:instrText xml:space="preserve"> PRINTDATE \@ DD.MM.YY </w:instrText>
    </w:r>
    <w:r>
      <w:fldChar w:fldCharType="separate"/>
    </w:r>
    <w:r w:rsidR="006A0576">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63684" w:rsidRDefault="00863684" w:rsidP="00863684">
    <w:pPr>
      <w:pStyle w:val="Footer"/>
      <w:rPr>
        <w:lang w:val="en-US"/>
      </w:rPr>
    </w:pPr>
    <w:r>
      <w:fldChar w:fldCharType="begin"/>
    </w:r>
    <w:r>
      <w:rPr>
        <w:lang w:val="en-US"/>
      </w:rPr>
      <w:instrText xml:space="preserve"> FILENAME \p  \* MERGEFORMAT </w:instrText>
    </w:r>
    <w:r>
      <w:fldChar w:fldCharType="separate"/>
    </w:r>
    <w:r w:rsidR="006A0576">
      <w:rPr>
        <w:lang w:val="en-US"/>
      </w:rPr>
      <w:t>P:\ESP\ITU-R\CONF-R\CMR15\000\025ADD19ADD05S.docx</w:t>
    </w:r>
    <w:r>
      <w:fldChar w:fldCharType="end"/>
    </w:r>
    <w:r>
      <w:t xml:space="preserve"> (386941)</w:t>
    </w:r>
    <w:r>
      <w:rPr>
        <w:lang w:val="en-US"/>
      </w:rPr>
      <w:tab/>
    </w:r>
    <w:r>
      <w:fldChar w:fldCharType="begin"/>
    </w:r>
    <w:r>
      <w:instrText xml:space="preserve"> SAVEDATE \@ DD.MM.YY </w:instrText>
    </w:r>
    <w:r>
      <w:fldChar w:fldCharType="separate"/>
    </w:r>
    <w:r w:rsidR="006A0576">
      <w:t>23.10.15</w:t>
    </w:r>
    <w:r>
      <w:fldChar w:fldCharType="end"/>
    </w:r>
    <w:r>
      <w:rPr>
        <w:lang w:val="en-US"/>
      </w:rPr>
      <w:tab/>
    </w:r>
    <w:r>
      <w:fldChar w:fldCharType="begin"/>
    </w:r>
    <w:r>
      <w:instrText xml:space="preserve"> PRINTDATE \@ DD.MM.YY </w:instrText>
    </w:r>
    <w:r>
      <w:fldChar w:fldCharType="separate"/>
    </w:r>
    <w:r w:rsidR="006A0576">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6A0576">
      <w:rPr>
        <w:lang w:val="en-US"/>
      </w:rPr>
      <w:t>P:\ESP\ITU-R\CONF-R\CMR15\000\025ADD19ADD05S.docx</w:t>
    </w:r>
    <w:r>
      <w:fldChar w:fldCharType="end"/>
    </w:r>
    <w:r w:rsidR="00863684">
      <w:t xml:space="preserve"> (386941)</w:t>
    </w:r>
    <w:r>
      <w:rPr>
        <w:lang w:val="en-US"/>
      </w:rPr>
      <w:tab/>
    </w:r>
    <w:r>
      <w:fldChar w:fldCharType="begin"/>
    </w:r>
    <w:r>
      <w:instrText xml:space="preserve"> SAVEDATE \@ DD.MM.YY </w:instrText>
    </w:r>
    <w:r>
      <w:fldChar w:fldCharType="separate"/>
    </w:r>
    <w:r w:rsidR="006A0576">
      <w:t>23.10.15</w:t>
    </w:r>
    <w:r>
      <w:fldChar w:fldCharType="end"/>
    </w:r>
    <w:r>
      <w:rPr>
        <w:lang w:val="en-US"/>
      </w:rPr>
      <w:tab/>
    </w:r>
    <w:r>
      <w:fldChar w:fldCharType="begin"/>
    </w:r>
    <w:r>
      <w:instrText xml:space="preserve"> PRINTDATE \@ DD.MM.YY </w:instrText>
    </w:r>
    <w:r>
      <w:fldChar w:fldCharType="separate"/>
    </w:r>
    <w:r w:rsidR="006A0576">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23369">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25(Add.19)(Add.5)-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1421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FEE8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803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5E81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4C55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801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1AC5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AAA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164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F8D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52B08"/>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A0576"/>
    <w:rsid w:val="006D6E67"/>
    <w:rsid w:val="006E1A13"/>
    <w:rsid w:val="00701C20"/>
    <w:rsid w:val="00702F3D"/>
    <w:rsid w:val="0070518E"/>
    <w:rsid w:val="007354E9"/>
    <w:rsid w:val="00765578"/>
    <w:rsid w:val="0077084A"/>
    <w:rsid w:val="007952C7"/>
    <w:rsid w:val="007C0B95"/>
    <w:rsid w:val="007C2317"/>
    <w:rsid w:val="007D330A"/>
    <w:rsid w:val="00863684"/>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B0EDF"/>
    <w:rsid w:val="00BE2E80"/>
    <w:rsid w:val="00BE5EDD"/>
    <w:rsid w:val="00BE6A1F"/>
    <w:rsid w:val="00C126C4"/>
    <w:rsid w:val="00C63EB5"/>
    <w:rsid w:val="00CC01E0"/>
    <w:rsid w:val="00CD5FEE"/>
    <w:rsid w:val="00CE60D2"/>
    <w:rsid w:val="00CE7431"/>
    <w:rsid w:val="00D0288A"/>
    <w:rsid w:val="00D72A5D"/>
    <w:rsid w:val="00DB688C"/>
    <w:rsid w:val="00DC456F"/>
    <w:rsid w:val="00DC629B"/>
    <w:rsid w:val="00E05BFF"/>
    <w:rsid w:val="00E262F1"/>
    <w:rsid w:val="00E3176A"/>
    <w:rsid w:val="00E54754"/>
    <w:rsid w:val="00E56BD3"/>
    <w:rsid w:val="00E71D14"/>
    <w:rsid w:val="00F2336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60D8F7-C3ED-4E1E-A6C9-95659EF0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CommentTextChar">
    <w:name w:val="Comment Text Char"/>
    <w:basedOn w:val="DefaultParagraphFont"/>
    <w:link w:val="CommentText"/>
    <w:semiHidden/>
    <w:rsid w:val="00DC456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R15-WRC15-C-0025!A19-A5!MSW-S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B6228-D006-4A0F-AC6D-0417A47178BB}">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 ds:uri="996b2e75-67fd-4955-a3b0-5ab9934cb50b"/>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4A9100B1-FD23-44A0-9DE6-E01A4B22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542</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R15-WRC15-C-0025!A19-A5!MSW-S</vt:lpstr>
    </vt:vector>
  </TitlesOfParts>
  <Manager>Secretaría General - Pool</Manager>
  <Company>Unión Internacional de Telecomunicaciones (UIT)</Company>
  <LinksUpToDate>false</LinksUpToDate>
  <CharactersWithSpaces>3530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R15-WRC15-C-0025!A19-A5!MSW-S</dc:title>
  <dc:subject>Conferencia Mundial de Radiocomunicaciones - 2015</dc:subject>
  <dc:creator>Documents Proposals Manager (DPM)</dc:creator>
  <cp:keywords>DPM_v5.2015.10.220_prod</cp:keywords>
  <dc:description/>
  <cp:lastModifiedBy>spanish</cp:lastModifiedBy>
  <cp:revision>6</cp:revision>
  <cp:lastPrinted>2015-10-23T10:46:00Z</cp:lastPrinted>
  <dcterms:created xsi:type="dcterms:W3CDTF">2015-10-23T08:53:00Z</dcterms:created>
  <dcterms:modified xsi:type="dcterms:W3CDTF">2015-10-23T11:25:00Z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